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CE" w:rsidRDefault="00450BCE" w:rsidP="00450BCE">
      <w:pPr>
        <w:pStyle w:val="berschrift1"/>
      </w:pPr>
      <w:r>
        <w:t>Annex: Sampling uncertaint</w:t>
      </w:r>
      <w:bookmarkStart w:id="0" w:name="_GoBack"/>
      <w:bookmarkEnd w:id="0"/>
      <w:r>
        <w:t>y in the ISO 3951-1 standard</w:t>
      </w:r>
    </w:p>
    <w:p w:rsidR="00450BCE" w:rsidRDefault="00450BCE"/>
    <w:p w:rsidR="00021560" w:rsidRDefault="009F3CAE">
      <w:r>
        <w:t>In the following</w:t>
      </w:r>
      <w:r w:rsidR="00EA363D">
        <w:t>,</w:t>
      </w:r>
      <w:r>
        <w:t xml:space="preserve"> </w:t>
      </w:r>
      <w:r w:rsidR="006D27AF">
        <w:t>the manner in which sampling uncertainty is taken into consideration in the ISO 3951-1 standard</w:t>
      </w:r>
      <w:r w:rsidR="00952865">
        <w:t xml:space="preserve"> will be explained</w:t>
      </w:r>
      <w:r w:rsidR="00021560">
        <w:t>.</w:t>
      </w:r>
    </w:p>
    <w:p w:rsidR="00C84433" w:rsidRDefault="00C84433" w:rsidP="00C84433">
      <w:pPr>
        <w:pStyle w:val="berschrift3"/>
      </w:pPr>
      <w:r>
        <w:t>“</w:t>
      </w:r>
      <w:proofErr w:type="gramStart"/>
      <w:r>
        <w:t>s</w:t>
      </w:r>
      <w:proofErr w:type="gramEnd"/>
      <w:r>
        <w:t>” method</w:t>
      </w:r>
    </w:p>
    <w:p w:rsidR="00021560" w:rsidRDefault="00021560" w:rsidP="00021560">
      <w:pPr>
        <w:rPr>
          <w:rFonts w:eastAsiaTheme="minorEastAsia"/>
        </w:rPr>
      </w:pPr>
      <w:r>
        <w:rPr>
          <w:rFonts w:eastAsiaTheme="minorEastAsia"/>
        </w:rPr>
        <w:t xml:space="preserve">Assume that a lower specification limit </w:t>
      </w:r>
      <m:oMath>
        <m:r>
          <w:rPr>
            <w:rFonts w:ascii="Cambria Math" w:eastAsiaTheme="minorEastAsia" w:hAnsi="Cambria Math"/>
          </w:rPr>
          <m:t>L</m:t>
        </m:r>
      </m:oMath>
      <w:r>
        <w:rPr>
          <w:rFonts w:eastAsiaTheme="minorEastAsia"/>
        </w:rPr>
        <w:t xml:space="preserve"> has been defined and that a sample of size </w:t>
      </w:r>
      <m:oMath>
        <m:r>
          <w:rPr>
            <w:rFonts w:ascii="Cambria Math" w:eastAsiaTheme="minorEastAsia" w:hAnsi="Cambria Math"/>
          </w:rPr>
          <m:t>n</m:t>
        </m:r>
      </m:oMath>
      <w:r>
        <w:rPr>
          <w:rFonts w:eastAsiaTheme="minorEastAsia"/>
        </w:rPr>
        <w:t xml:space="preserve"> has been drawn</w:t>
      </w:r>
      <w:r w:rsidR="00ED6D0D">
        <w:rPr>
          <w:rFonts w:eastAsiaTheme="minorEastAsia"/>
        </w:rPr>
        <w:t>. The approach in the ISO 3951-1</w:t>
      </w:r>
      <w:r>
        <w:rPr>
          <w:rFonts w:eastAsiaTheme="minorEastAsia"/>
        </w:rPr>
        <w:t xml:space="preserve"> standard consists in defining an </w:t>
      </w:r>
      <w:r w:rsidRPr="00021560">
        <w:rPr>
          <w:rFonts w:eastAsiaTheme="minorEastAsia"/>
          <w:i/>
        </w:rPr>
        <w:t>acceptability constant</w:t>
      </w:r>
      <w:r>
        <w:rPr>
          <w:rFonts w:eastAsiaTheme="minorEastAsia"/>
        </w:rPr>
        <w:t xml:space="preserve"> </w:t>
      </w:r>
      <m:oMath>
        <m:r>
          <w:rPr>
            <w:rFonts w:ascii="Cambria Math" w:eastAsiaTheme="minorEastAsia" w:hAnsi="Cambria Math"/>
          </w:rPr>
          <m:t>k</m:t>
        </m:r>
      </m:oMath>
      <w:r>
        <w:rPr>
          <w:rFonts w:eastAsiaTheme="minorEastAsia"/>
        </w:rPr>
        <w:t xml:space="preserve"> in such a way that the criterion for accepting the lot or consignment, from which the sample was drawn, is:</w:t>
      </w:r>
    </w:p>
    <w:p w:rsidR="00021560" w:rsidRPr="00021560" w:rsidRDefault="009B2AF7" w:rsidP="00021560">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m:oMathPara>
    </w:p>
    <w:p w:rsidR="00021560" w:rsidRPr="00021560" w:rsidRDefault="00021560" w:rsidP="00021560">
      <w:pPr>
        <w:rPr>
          <w:rFonts w:eastAsiaTheme="minorEastAsia"/>
        </w:rPr>
      </w:pPr>
      <w:proofErr w:type="gramStart"/>
      <w:r>
        <w:rPr>
          <w:rFonts w:eastAsiaTheme="minorEastAsia"/>
        </w:rPr>
        <w:t>where</w:t>
      </w:r>
      <w:proofErr w:type="gramEnd"/>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denotes the sample mean and </w:t>
      </w:r>
      <m:oMath>
        <m:r>
          <w:rPr>
            <w:rFonts w:ascii="Cambria Math" w:eastAsiaTheme="minorEastAsia" w:hAnsi="Cambria Math"/>
          </w:rPr>
          <m:t>S</m:t>
        </m:r>
      </m:oMath>
      <w:r>
        <w:rPr>
          <w:rFonts w:eastAsiaTheme="minorEastAsia"/>
        </w:rPr>
        <w:t xml:space="preserve"> denotes the sample standard deviation.</w:t>
      </w:r>
    </w:p>
    <w:p w:rsidR="0067488D" w:rsidRDefault="00B47C85">
      <w:pPr>
        <w:rPr>
          <w:rFonts w:eastAsiaTheme="minorEastAsia"/>
        </w:rPr>
      </w:pPr>
      <w:r>
        <w:t xml:space="preserve">This is where sampling uncertainty comes in. Due to the random nature of the sample, it cannot be excluded that the sample misrepresents the lot or consignment, thus leading to an incorrect decision. Indeed, the computation of </w:t>
      </w:r>
      <m:oMath>
        <m:r>
          <w:rPr>
            <w:rFonts w:ascii="Cambria Math" w:hAnsi="Cambria Math"/>
          </w:rPr>
          <m:t>k</m:t>
        </m:r>
      </m:oMath>
      <w:r>
        <w:rPr>
          <w:rFonts w:eastAsiaTheme="minorEastAsia"/>
        </w:rPr>
        <w:t xml:space="preserve"> does not depend on the measured values obtained on the basis of the sample.</w:t>
      </w:r>
      <w:r>
        <w:t xml:space="preserve"> Thus, once </w:t>
      </w:r>
      <m:oMath>
        <m:r>
          <w:rPr>
            <w:rFonts w:ascii="Cambria Math" w:hAnsi="Cambria Math"/>
          </w:rPr>
          <m:t>k</m:t>
        </m:r>
      </m:oMath>
      <w:r>
        <w:rPr>
          <w:rFonts w:eastAsiaTheme="minorEastAsia"/>
        </w:rPr>
        <w:t xml:space="preserve"> has been computed, different samples will yield different values for </w:t>
      </w:r>
      <w:r w:rsidR="0067488D">
        <w:rPr>
          <w:rFonts w:eastAsiaTheme="minorEastAsia"/>
        </w:rPr>
        <w:t xml:space="preserve">the </w:t>
      </w:r>
      <w:r>
        <w:rPr>
          <w:rFonts w:eastAsiaTheme="minorEastAsia"/>
        </w:rPr>
        <w:t xml:space="preserve">quantity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m:t>
        </m:r>
      </m:oMath>
      <w:r>
        <w:rPr>
          <w:rFonts w:eastAsiaTheme="minorEastAsia"/>
        </w:rPr>
        <w:t xml:space="preserve">. </w:t>
      </w:r>
      <w:proofErr w:type="gramStart"/>
      <w:r>
        <w:rPr>
          <w:rFonts w:eastAsiaTheme="minorEastAsia"/>
        </w:rPr>
        <w:t>Taking sampling uncertainty into consideration</w:t>
      </w:r>
      <w:proofErr w:type="gramEnd"/>
      <w:r>
        <w:rPr>
          <w:rFonts w:eastAsiaTheme="minorEastAsia"/>
        </w:rPr>
        <w:t xml:space="preserve"> will thus consist in a description of the distribution of the values which the quantity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m:t>
        </m:r>
      </m:oMath>
      <w:r>
        <w:rPr>
          <w:rFonts w:eastAsiaTheme="minorEastAsia"/>
        </w:rPr>
        <w:t xml:space="preserve"> takes and, in particular, in the quantification of the probabilities of </w:t>
      </w:r>
      <w:r w:rsidR="00ED6D0D">
        <w:rPr>
          <w:rFonts w:eastAsiaTheme="minorEastAsia"/>
        </w:rPr>
        <w:t>making</w:t>
      </w:r>
      <w:r>
        <w:rPr>
          <w:rFonts w:eastAsiaTheme="minorEastAsia"/>
        </w:rPr>
        <w:t xml:space="preserve"> incorrect decisions. There are two types of incorrect decisions: </w:t>
      </w:r>
    </w:p>
    <w:p w:rsidR="00021560" w:rsidRDefault="0067488D" w:rsidP="0067488D">
      <w:pPr>
        <w:pStyle w:val="Listenabsatz"/>
        <w:numPr>
          <w:ilvl w:val="0"/>
          <w:numId w:val="2"/>
        </w:numPr>
      </w:pPr>
      <w:r w:rsidRPr="0067488D">
        <w:rPr>
          <w:rFonts w:eastAsiaTheme="minorEastAsia"/>
        </w:rPr>
        <w:t>A</w:t>
      </w:r>
      <w:r w:rsidR="00B47C85" w:rsidRPr="0067488D">
        <w:rPr>
          <w:rFonts w:eastAsiaTheme="minorEastAsia"/>
        </w:rPr>
        <w:t>ccepting</w:t>
      </w:r>
      <w:r w:rsidRPr="0067488D">
        <w:rPr>
          <w:rFonts w:eastAsiaTheme="minorEastAsia"/>
        </w:rPr>
        <w:t xml:space="preserve"> a consignment </w:t>
      </w:r>
      <w:r w:rsidR="00AA7AB6">
        <w:rPr>
          <w:rFonts w:eastAsiaTheme="minorEastAsia"/>
        </w:rPr>
        <w:t>which does not meet the criterion</w:t>
      </w:r>
      <w:r w:rsidRPr="0067488D">
        <w:rPr>
          <w:rFonts w:eastAsiaTheme="minorEastAsia"/>
        </w:rPr>
        <w:t xml:space="preserve"> (the consumer’s risk</w:t>
      </w:r>
      <w:r w:rsidR="00A5223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w:r w:rsidR="00A52237">
        <w:rPr>
          <w:rFonts w:eastAsiaTheme="minorEastAsia"/>
        </w:rPr>
        <w:t xml:space="preserve"> </w:t>
      </w:r>
      <w:r w:rsidR="00EA363D">
        <w:rPr>
          <w:rFonts w:eastAsiaTheme="minorEastAsia"/>
        </w:rPr>
        <w:t xml:space="preserve">even though </w:t>
      </w:r>
      <w:r w:rsidR="00A52237">
        <w:rPr>
          <w:rFonts w:eastAsiaTheme="minorEastAsia"/>
        </w:rPr>
        <w:t xml:space="preserve">the true average of X </w:t>
      </w:r>
      <w:r w:rsidR="00EA363D">
        <w:rPr>
          <w:rFonts w:eastAsiaTheme="minorEastAsia"/>
        </w:rPr>
        <w:t xml:space="preserve">lies </w:t>
      </w:r>
      <w:r w:rsidR="00A52237">
        <w:rPr>
          <w:rFonts w:eastAsiaTheme="minorEastAsia"/>
        </w:rPr>
        <w:t>below the specification limit L</w:t>
      </w:r>
      <w:r w:rsidRPr="0067488D">
        <w:rPr>
          <w:rFonts w:eastAsiaTheme="minorEastAsia"/>
        </w:rPr>
        <w:t>)</w:t>
      </w:r>
      <w:r w:rsidR="00B47C85" w:rsidRPr="0067488D">
        <w:rPr>
          <w:rFonts w:eastAsiaTheme="minorEastAsia"/>
        </w:rPr>
        <w:t xml:space="preserve"> </w:t>
      </w:r>
    </w:p>
    <w:p w:rsidR="00021560" w:rsidRDefault="0067488D" w:rsidP="0067488D">
      <w:pPr>
        <w:pStyle w:val="Listenabsatz"/>
        <w:numPr>
          <w:ilvl w:val="0"/>
          <w:numId w:val="2"/>
        </w:numPr>
      </w:pPr>
      <w:r>
        <w:t>Rejecting a cons</w:t>
      </w:r>
      <w:r w:rsidR="00AA7AB6">
        <w:t>ignment which meets the criterion</w:t>
      </w:r>
      <w:r>
        <w:t xml:space="preserve"> (the producer’s risk</w:t>
      </w:r>
      <w:r w:rsidR="00A52237">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-kS&lt;L</m:t>
        </m:r>
      </m:oMath>
      <w:r w:rsidR="00A52237">
        <w:rPr>
          <w:rFonts w:eastAsiaTheme="minorEastAsia"/>
        </w:rPr>
        <w:t xml:space="preserve"> </w:t>
      </w:r>
      <w:r w:rsidR="00EA363D">
        <w:rPr>
          <w:rFonts w:eastAsiaTheme="minorEastAsia"/>
        </w:rPr>
        <w:t xml:space="preserve">even though </w:t>
      </w:r>
      <w:r w:rsidR="00A52237">
        <w:rPr>
          <w:rFonts w:eastAsiaTheme="minorEastAsia"/>
        </w:rPr>
        <w:t xml:space="preserve">the true average of X </w:t>
      </w:r>
      <w:r w:rsidR="00EA363D">
        <w:rPr>
          <w:rFonts w:eastAsiaTheme="minorEastAsia"/>
        </w:rPr>
        <w:t>lies</w:t>
      </w:r>
      <w:r w:rsidR="00A52237">
        <w:rPr>
          <w:rFonts w:eastAsiaTheme="minorEastAsia"/>
        </w:rPr>
        <w:t xml:space="preserve"> above the specification limit L</w:t>
      </w:r>
      <w:r>
        <w:t>)</w:t>
      </w:r>
    </w:p>
    <w:p w:rsidR="00021560" w:rsidRDefault="00AA7AB6">
      <w:r>
        <w:t xml:space="preserve">In the ISO 3951-1, the starting point for taking sampling uncertainty into consideration </w:t>
      </w:r>
      <w:r w:rsidR="00ED6D0D">
        <w:t>thus consists in</w:t>
      </w:r>
      <w:r>
        <w:t xml:space="preserve"> a decision as to which of the two types of risks to prioritize.</w:t>
      </w:r>
      <w:r w:rsidR="0002446F">
        <w:t xml:space="preserve"> In the “standard procedure” (see Section 13.1), the order of priority is:</w:t>
      </w:r>
    </w:p>
    <w:p w:rsidR="0002446F" w:rsidRDefault="0002446F" w:rsidP="0002446F">
      <w:pPr>
        <w:pStyle w:val="Listenabsatz"/>
        <w:numPr>
          <w:ilvl w:val="0"/>
          <w:numId w:val="4"/>
        </w:numPr>
      </w:pPr>
      <w:r>
        <w:t>Producer’s risk</w:t>
      </w:r>
    </w:p>
    <w:p w:rsidR="0002446F" w:rsidRDefault="0002446F" w:rsidP="0002446F">
      <w:pPr>
        <w:pStyle w:val="Listenabsatz"/>
        <w:numPr>
          <w:ilvl w:val="0"/>
          <w:numId w:val="4"/>
        </w:numPr>
      </w:pPr>
      <w:r>
        <w:t>Sample size</w:t>
      </w:r>
    </w:p>
    <w:p w:rsidR="0002446F" w:rsidRDefault="0002446F" w:rsidP="0002446F">
      <w:pPr>
        <w:pStyle w:val="Listenabsatz"/>
        <w:numPr>
          <w:ilvl w:val="0"/>
          <w:numId w:val="4"/>
        </w:numPr>
      </w:pPr>
      <w:r>
        <w:t>Consumer’s risk</w:t>
      </w:r>
    </w:p>
    <w:p w:rsidR="0002446F" w:rsidRDefault="0002446F" w:rsidP="0002446F">
      <w:r>
        <w:t>(Procedures for other priority orders are also provided (see Section 13.1).)</w:t>
      </w:r>
    </w:p>
    <w:p w:rsidR="0002446F" w:rsidRDefault="0002446F" w:rsidP="0002446F">
      <w:r>
        <w:t xml:space="preserve">It is assumed that the producer and the consumer have each defined a percentage of items nonconforming </w:t>
      </w:r>
      <w:r w:rsidR="00EA363D">
        <w:t>on the basis of which to establish the acceptance</w:t>
      </w:r>
      <w:r>
        <w:t xml:space="preserve"> criterion:</w:t>
      </w:r>
    </w:p>
    <w:p w:rsidR="0002446F" w:rsidRDefault="0002446F" w:rsidP="0002446F">
      <w:pPr>
        <w:pStyle w:val="Listenabsatz"/>
        <w:numPr>
          <w:ilvl w:val="0"/>
          <w:numId w:val="5"/>
        </w:numPr>
      </w:pPr>
      <w:r>
        <w:t>The consumer’s percentage of items nonconforming is called the “Limiting Quality”</w:t>
      </w:r>
    </w:p>
    <w:p w:rsidR="0002446F" w:rsidRDefault="0002446F" w:rsidP="0002446F">
      <w:pPr>
        <w:pStyle w:val="Listenabsatz"/>
        <w:numPr>
          <w:ilvl w:val="0"/>
          <w:numId w:val="5"/>
        </w:numPr>
      </w:pPr>
      <w:r>
        <w:t>The producer’s percentage of items nonconforming is called the “Acceptance Quality Limit” (AQL)</w:t>
      </w:r>
    </w:p>
    <w:p w:rsidR="00ED6D0D" w:rsidRDefault="00ED6D0D">
      <w:r>
        <w:lastRenderedPageBreak/>
        <w:t xml:space="preserve">(Once the </w:t>
      </w:r>
      <w:proofErr w:type="gramStart"/>
      <w:r>
        <w:t>Limiting Quality has been defined by the consumer</w:t>
      </w:r>
      <w:proofErr w:type="gramEnd"/>
      <w:r>
        <w:t xml:space="preserve">, the producer can choose the AQL to be lower than the Limiting Quality so as to ensure a high probability of acceptance.) </w:t>
      </w:r>
    </w:p>
    <w:p w:rsidR="00450BCE" w:rsidRDefault="0002446F">
      <w:r>
        <w:t xml:space="preserve">If the producer’s risk is prioritized, </w:t>
      </w:r>
      <w:r w:rsidR="00ED6D0D">
        <w:t xml:space="preserve">the acceptability constant </w:t>
      </w:r>
      <m:oMath>
        <m:r>
          <w:rPr>
            <w:rFonts w:ascii="Cambria Math" w:hAnsi="Cambria Math"/>
          </w:rPr>
          <m:t>k</m:t>
        </m:r>
      </m:oMath>
      <w:r w:rsidR="00ED6D0D">
        <w:rPr>
          <w:rFonts w:eastAsiaTheme="minorEastAsia"/>
        </w:rPr>
        <w:t xml:space="preserve"> will be computed in such a way so as to ensure the producer’s risk is low (say, less than </w:t>
      </w:r>
      <m:oMath>
        <m:r>
          <w:rPr>
            <w:rFonts w:ascii="Cambria Math" w:eastAsiaTheme="minorEastAsia" w:hAnsi="Cambria Math"/>
          </w:rPr>
          <m:t>5 %</m:t>
        </m:r>
      </m:oMath>
      <w:r w:rsidR="00ED6D0D">
        <w:rPr>
          <w:rFonts w:eastAsiaTheme="minorEastAsia"/>
        </w:rPr>
        <w:t xml:space="preserve">). Once this particular </w:t>
      </w:r>
      <m:oMath>
        <m:r>
          <w:rPr>
            <w:rFonts w:ascii="Cambria Math" w:eastAsiaTheme="minorEastAsia" w:hAnsi="Cambria Math"/>
          </w:rPr>
          <m:t>k</m:t>
        </m:r>
      </m:oMath>
      <w:r w:rsidR="00ED6D0D">
        <w:rPr>
          <w:rFonts w:eastAsiaTheme="minorEastAsia"/>
        </w:rPr>
        <w:t xml:space="preserve"> has been computed, it is possible to compute the consumer’s risk. Typically, the latter is deemed acceptable if less than </w:t>
      </w:r>
      <m:oMath>
        <m:r>
          <w:rPr>
            <w:rFonts w:ascii="Cambria Math" w:eastAsiaTheme="minorEastAsia" w:hAnsi="Cambria Math"/>
          </w:rPr>
          <m:t>10 %</m:t>
        </m:r>
      </m:oMath>
      <w:r w:rsidR="00ED6D0D">
        <w:rPr>
          <w:rFonts w:eastAsiaTheme="minorEastAsia"/>
        </w:rPr>
        <w:t xml:space="preserve">. If, for the computed </w:t>
      </w:r>
      <m:oMath>
        <m:r>
          <w:rPr>
            <w:rFonts w:ascii="Cambria Math" w:eastAsiaTheme="minorEastAsia" w:hAnsi="Cambria Math"/>
          </w:rPr>
          <m:t>k</m:t>
        </m:r>
      </m:oMath>
      <w:r w:rsidR="00ED6D0D">
        <w:rPr>
          <w:rFonts w:eastAsiaTheme="minorEastAsia"/>
        </w:rPr>
        <w:t>, the consumer’s risk is too high, then it is possible to lower this risk by increasing the number of samples. The sample sizes</w:t>
      </w:r>
      <w:r w:rsidR="006309BA">
        <w:rPr>
          <w:rFonts w:eastAsiaTheme="minorEastAsia"/>
        </w:rPr>
        <w:t xml:space="preserve"> corresponding to the code letters in the tables of the ISO 3951-1 standard were computed to ensure the criteria for both the producer risk (less than </w:t>
      </w:r>
      <m:oMath>
        <m:r>
          <w:rPr>
            <w:rFonts w:ascii="Cambria Math" w:eastAsiaTheme="minorEastAsia" w:hAnsi="Cambria Math"/>
          </w:rPr>
          <m:t>5 %</m:t>
        </m:r>
      </m:oMath>
      <w:r w:rsidR="006309BA">
        <w:rPr>
          <w:rFonts w:eastAsiaTheme="minorEastAsia"/>
        </w:rPr>
        <w:t xml:space="preserve">) and the consumer risk (less than </w:t>
      </w:r>
      <m:oMath>
        <m:r>
          <w:rPr>
            <w:rFonts w:ascii="Cambria Math" w:eastAsiaTheme="minorEastAsia" w:hAnsi="Cambria Math"/>
          </w:rPr>
          <m:t>10 %</m:t>
        </m:r>
      </m:oMath>
      <w:r w:rsidR="006309BA">
        <w:rPr>
          <w:rFonts w:eastAsiaTheme="minorEastAsia"/>
        </w:rPr>
        <w:t>) are met.</w:t>
      </w:r>
      <w:r w:rsidR="006309BA">
        <w:t xml:space="preserve"> In particular, </w:t>
      </w:r>
      <w:r w:rsidR="006D27AF">
        <w:t>tables B1, K1 and L1</w:t>
      </w:r>
      <w:r w:rsidR="006309BA">
        <w:t xml:space="preserve"> provide the information discussed here</w:t>
      </w:r>
      <w:r w:rsidR="006D27AF">
        <w:t>:</w:t>
      </w:r>
    </w:p>
    <w:p w:rsidR="006D27AF" w:rsidRPr="006D27AF" w:rsidRDefault="006D27AF" w:rsidP="006D27AF">
      <w:pPr>
        <w:pStyle w:val="Listenabsatz"/>
        <w:numPr>
          <w:ilvl w:val="0"/>
          <w:numId w:val="1"/>
        </w:numPr>
        <w:rPr>
          <w:rFonts w:eastAsiaTheme="minorEastAsia"/>
        </w:rPr>
      </w:pPr>
      <w:r>
        <w:t xml:space="preserve">Table B1 provides the </w:t>
      </w:r>
      <m:oMath>
        <m:r>
          <w:rPr>
            <w:rFonts w:ascii="Cambria Math" w:hAnsi="Cambria Math"/>
          </w:rPr>
          <m:t>k</m:t>
        </m:r>
      </m:oMath>
      <w:r w:rsidRPr="006D27AF">
        <w:rPr>
          <w:rFonts w:eastAsiaTheme="minorEastAsia"/>
        </w:rPr>
        <w:t xml:space="preserve"> values </w:t>
      </w:r>
      <w:r w:rsidR="00021560">
        <w:rPr>
          <w:rFonts w:eastAsiaTheme="minorEastAsia"/>
        </w:rPr>
        <w:t xml:space="preserve">(“acceptability constant”) </w:t>
      </w:r>
      <w:r w:rsidRPr="006D27AF">
        <w:rPr>
          <w:rFonts w:eastAsiaTheme="minorEastAsia"/>
        </w:rPr>
        <w:t>corresponding to a particular AQL and sample size.</w:t>
      </w:r>
    </w:p>
    <w:p w:rsidR="006D27AF" w:rsidRPr="006D27AF" w:rsidRDefault="006D27AF" w:rsidP="006D27AF">
      <w:pPr>
        <w:pStyle w:val="Listenabsatz"/>
        <w:numPr>
          <w:ilvl w:val="0"/>
          <w:numId w:val="1"/>
        </w:numPr>
        <w:rPr>
          <w:rFonts w:eastAsiaTheme="minorEastAsia"/>
        </w:rPr>
      </w:pPr>
      <w:r w:rsidRPr="006D27AF">
        <w:rPr>
          <w:rFonts w:eastAsiaTheme="minorEastAsia"/>
        </w:rPr>
        <w:t>Table K1 provides the corresponding consumer risks.</w:t>
      </w:r>
    </w:p>
    <w:p w:rsidR="009F3CAE" w:rsidRPr="009F3CAE" w:rsidRDefault="006D27AF" w:rsidP="009F3CAE">
      <w:pPr>
        <w:pStyle w:val="Listenabsatz"/>
        <w:numPr>
          <w:ilvl w:val="0"/>
          <w:numId w:val="1"/>
        </w:numPr>
        <w:rPr>
          <w:rFonts w:eastAsiaTheme="minorEastAsia"/>
        </w:rPr>
      </w:pPr>
      <w:r w:rsidRPr="006D27AF">
        <w:rPr>
          <w:rFonts w:eastAsiaTheme="minorEastAsia"/>
        </w:rPr>
        <w:t>Table L1 provides the corresponding producer risks.</w:t>
      </w:r>
    </w:p>
    <w:p w:rsidR="00021560" w:rsidRDefault="00DD640C">
      <w:r>
        <w:t>A</w:t>
      </w:r>
      <w:r w:rsidR="006309BA">
        <w:t>s far as the actual computations are considered, the non</w:t>
      </w:r>
      <w:r>
        <w:t>-</w:t>
      </w:r>
      <w:r w:rsidR="006309BA">
        <w:t>central t distribution plays an important role as can be read from the following equation:</w:t>
      </w:r>
    </w:p>
    <w:p w:rsidR="006309BA" w:rsidRPr="006309BA" w:rsidRDefault="006309BA">
      <w:pPr>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e>
          </m:d>
          <m:r>
            <w:rPr>
              <w:rFonts w:ascii="Cambria Math" w:hAnsi="Cambria Math"/>
            </w:rPr>
            <m:t>=P</m:t>
          </m:r>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-μ</m:t>
                      </m:r>
                    </m:e>
                  </m:d>
                </m:num>
                <m:den>
                  <m:r>
                    <w:rPr>
                      <w:rFonts w:ascii="Cambria Math" w:hAnsi="Cambria Math"/>
                    </w:rPr>
                    <m:t>σ</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≥k</m:t>
              </m:r>
              <m:rad>
                <m:radPr>
                  <m:degHide m:val="1"/>
                  <m:ctrlPr>
                    <w:rPr>
                      <w:rFonts w:ascii="Cambria Math" w:hAnsi="Cambria Math"/>
                      <w:i/>
                    </w:rPr>
                  </m:ctrlPr>
                </m:radPr>
                <m:deg/>
                <m:e>
                  <m:r>
                    <w:rPr>
                      <w:rFonts w:ascii="Cambria Math" w:hAnsi="Cambria Math"/>
                    </w:rPr>
                    <m:t>n</m:t>
                  </m:r>
                </m:e>
              </m:rad>
              <m:f>
                <m:fPr>
                  <m:ctrlPr>
                    <w:rPr>
                      <w:rFonts w:ascii="Cambria Math" w:hAnsi="Cambria Math"/>
                      <w:i/>
                    </w:rPr>
                  </m:ctrlPr>
                </m:fPr>
                <m:num>
                  <m:r>
                    <w:rPr>
                      <w:rFonts w:ascii="Cambria Math" w:hAnsi="Cambria Math"/>
                    </w:rPr>
                    <m:t>S</m:t>
                  </m:r>
                </m:num>
                <m:den>
                  <m:r>
                    <w:rPr>
                      <w:rFonts w:ascii="Cambria Math" w:hAnsi="Cambria Math"/>
                    </w:rPr>
                    <m:t>σ</m:t>
                  </m:r>
                </m:den>
              </m:f>
            </m:e>
          </m:d>
          <m:r>
            <w:rPr>
              <w:rFonts w:ascii="Cambria Math" w:eastAsiaTheme="minorEastAsia" w:hAnsi="Cambria Math"/>
            </w:rPr>
            <m:t>,</m:t>
          </m:r>
        </m:oMath>
      </m:oMathPara>
    </w:p>
    <w:p w:rsidR="006309BA" w:rsidRPr="003B5FD7" w:rsidRDefault="006309BA">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 δ</m:t>
                  </m:r>
                </m:sub>
              </m:sSub>
              <m:r>
                <w:rPr>
                  <w:rFonts w:ascii="Cambria Math" w:eastAsiaTheme="minorEastAsia" w:hAnsi="Cambria Math"/>
                </w:rPr>
                <m:t>≥</m:t>
              </m:r>
              <m:r>
                <w:rPr>
                  <w:rFonts w:ascii="Cambria Math" w:hAnsi="Cambria Math"/>
                </w:rPr>
                <m:t>k</m:t>
              </m:r>
              <m:rad>
                <m:radPr>
                  <m:degHide m:val="1"/>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9A63B1" w:rsidRDefault="00DD640C">
      <w:pPr>
        <w:rPr>
          <w:rFonts w:eastAsiaTheme="minorEastAsia"/>
        </w:rPr>
      </w:pPr>
      <w:proofErr w:type="gramStart"/>
      <w:r>
        <w:rPr>
          <w:rFonts w:eastAsiaTheme="minorEastAsia"/>
        </w:rPr>
        <w:t>w</w:t>
      </w:r>
      <w:r w:rsidR="003B5FD7">
        <w:rPr>
          <w:rFonts w:eastAsiaTheme="minorEastAsia"/>
        </w:rPr>
        <w:t>here</w:t>
      </w:r>
      <w:proofErr w:type="gramEnd"/>
      <w:r w:rsidR="003B5FD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 δ</m:t>
            </m:r>
          </m:sub>
        </m:sSub>
      </m:oMath>
      <w:r w:rsidR="003B5FD7">
        <w:rPr>
          <w:rFonts w:eastAsiaTheme="minorEastAsia"/>
        </w:rPr>
        <w:t xml:space="preserve"> denotes a random variable following a non</w:t>
      </w:r>
      <w:r>
        <w:rPr>
          <w:rFonts w:eastAsiaTheme="minorEastAsia"/>
        </w:rPr>
        <w:t>-</w:t>
      </w:r>
      <w:r w:rsidR="003B5FD7">
        <w:rPr>
          <w:rFonts w:eastAsiaTheme="minorEastAsia"/>
        </w:rPr>
        <w:t>central t distribution with non</w:t>
      </w:r>
      <w:r>
        <w:rPr>
          <w:rFonts w:eastAsiaTheme="minorEastAsia"/>
        </w:rPr>
        <w:t>-</w:t>
      </w:r>
      <w:r w:rsidR="003B5FD7">
        <w:rPr>
          <w:rFonts w:eastAsiaTheme="minorEastAsia"/>
        </w:rPr>
        <w:t xml:space="preserve">centrality parameter </w:t>
      </w:r>
      <m:oMath>
        <m:r>
          <w:rPr>
            <w:rFonts w:ascii="Cambria Math" w:eastAsiaTheme="minorEastAsia" w:hAnsi="Cambria Math"/>
          </w:rPr>
          <m:t>δ</m:t>
        </m:r>
      </m:oMath>
      <w:r w:rsidR="003B5FD7">
        <w:rPr>
          <w:rFonts w:eastAsiaTheme="minorEastAsia"/>
        </w:rPr>
        <w:t xml:space="preserve">. </w:t>
      </w:r>
    </w:p>
    <w:p w:rsidR="009A63B1" w:rsidRDefault="009A63B1">
      <w:pPr>
        <w:rPr>
          <w:rFonts w:eastAsiaTheme="minorEastAsia"/>
        </w:rPr>
      </w:pPr>
      <w:r>
        <w:rPr>
          <w:rFonts w:eastAsiaTheme="minorEastAsia"/>
        </w:rPr>
        <w:t>In the computation of</w:t>
      </w:r>
      <w:r w:rsidRPr="009A63B1">
        <w:rPr>
          <w:rFonts w:eastAsiaTheme="minorEastAsia"/>
        </w:rPr>
        <w:t xml:space="preserve"> </w:t>
      </w:r>
      <w:r>
        <w:rPr>
          <w:rFonts w:eastAsiaTheme="minorEastAsia"/>
        </w:rPr>
        <w:t xml:space="preserve">the acceptability constant </w:t>
      </w:r>
      <m:oMath>
        <m:r>
          <w:rPr>
            <w:rFonts w:ascii="Cambria Math" w:eastAsiaTheme="minorEastAsia" w:hAnsi="Cambria Math"/>
          </w:rPr>
          <m:t>k</m:t>
        </m:r>
      </m:oMath>
      <w:r>
        <w:rPr>
          <w:rFonts w:eastAsiaTheme="minorEastAsia"/>
        </w:rPr>
        <w:t xml:space="preserve">, the producer’s risk is prioritized. </w:t>
      </w:r>
      <w:r w:rsidR="00EA363D">
        <w:rPr>
          <w:rFonts w:eastAsiaTheme="minorEastAsia"/>
        </w:rPr>
        <w:t>The percentage of items non</w:t>
      </w:r>
      <w:r w:rsidR="0079660B">
        <w:rPr>
          <w:rFonts w:eastAsiaTheme="minorEastAsia"/>
        </w:rPr>
        <w:t>con</w:t>
      </w:r>
      <w:r w:rsidR="00EA363D">
        <w:rPr>
          <w:rFonts w:eastAsiaTheme="minorEastAsia"/>
        </w:rPr>
        <w:t xml:space="preserve">forming </w:t>
      </w:r>
      <m:oMath>
        <m:r>
          <m:rPr>
            <m:nor/>
          </m:rPr>
          <w:rPr>
            <w:rFonts w:ascii="Cambria Math" w:eastAsiaTheme="minorEastAsia" w:hAnsi="Cambria Math"/>
          </w:rPr>
          <m:t>AQL</m:t>
        </m:r>
        <m:r>
          <w:rPr>
            <w:rFonts w:ascii="Cambria Math" w:eastAsiaTheme="minorEastAsia" w:hAnsi="Cambria Math"/>
          </w:rPr>
          <m:t>=P(X&lt;L)</m:t>
        </m:r>
      </m:oMath>
      <w:r w:rsidR="00EA363D">
        <w:rPr>
          <w:rFonts w:eastAsiaTheme="minorEastAsia"/>
        </w:rPr>
        <w:t xml:space="preserve"> </w:t>
      </w:r>
      <w:proofErr w:type="gramStart"/>
      <w:r w:rsidR="00EA363D">
        <w:rPr>
          <w:rFonts w:eastAsiaTheme="minorEastAsia"/>
        </w:rPr>
        <w:t>can be written</w:t>
      </w:r>
      <w:proofErr w:type="gramEnd"/>
      <w:r w:rsidR="00EA363D">
        <w:rPr>
          <w:rFonts w:eastAsiaTheme="minorEastAsia"/>
        </w:rPr>
        <w:t xml:space="preserve"> </w:t>
      </w:r>
      <m:oMath>
        <m:r>
          <m:rPr>
            <m:nor/>
          </m:rPr>
          <w:rPr>
            <w:rFonts w:ascii="Cambria Math" w:eastAsiaTheme="minorEastAsia" w:hAnsi="Cambria Math"/>
          </w:rPr>
          <m:t>AQL</m:t>
        </m:r>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oMath>
      <w:r w:rsidR="00DD640C">
        <w:rPr>
          <w:rFonts w:eastAsiaTheme="minorEastAsia"/>
        </w:rPr>
        <w:t xml:space="preserve">. </w:t>
      </w:r>
    </w:p>
    <w:p w:rsidR="00DD640C" w:rsidRDefault="00DD640C">
      <w:pPr>
        <w:rPr>
          <w:rFonts w:eastAsiaTheme="minorEastAsia"/>
        </w:rPr>
      </w:pPr>
      <w:r>
        <w:rPr>
          <w:rFonts w:eastAsiaTheme="minorEastAsia"/>
        </w:rPr>
        <w:t xml:space="preserve">For the non-centrality parameter, this implies </w:t>
      </w:r>
    </w:p>
    <w:p w:rsidR="003B5FD7" w:rsidRPr="006309BA" w:rsidRDefault="003B5FD7">
      <w:pPr>
        <w:rPr>
          <w:rFonts w:eastAsiaTheme="minorEastAsia"/>
        </w:rPr>
      </w:pPr>
      <m:oMathPara>
        <m:oMath>
          <m:r>
            <w:rPr>
              <w:rFonts w:ascii="Cambria Math" w:eastAsiaTheme="minorEastAsia" w:hAnsi="Cambria Math"/>
            </w:rPr>
            <m:t>δ=</m:t>
          </m:r>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m:t>
          </m:r>
          <m:rad>
            <m:radPr>
              <m:degHide m:val="1"/>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m:oMathPara>
    </w:p>
    <w:p w:rsidR="006309BA" w:rsidRDefault="00DD640C">
      <w:pPr>
        <w:rPr>
          <w:rFonts w:eastAsiaTheme="minorEastAsia"/>
        </w:rPr>
      </w:pPr>
      <w:r>
        <w:rPr>
          <w:rFonts w:eastAsiaTheme="minorEastAsia"/>
        </w:rPr>
        <w:t>Finally, we have for the probability of acceptance:</w:t>
      </w:r>
    </w:p>
    <w:p w:rsidR="00DD640C" w:rsidRPr="00DD640C" w:rsidRDefault="009B2AF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=95 %=1-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n-1,δ</m:t>
              </m:r>
            </m:sub>
          </m:sSub>
          <m:d>
            <m:dPr>
              <m:ctrlPr>
                <w:rPr>
                  <w:rFonts w:ascii="Cambria Math" w:eastAsiaTheme="minorEastAsia" w:hAnsi="Cambria Math"/>
                  <w:i/>
                </w:rPr>
              </m:ctrlPr>
            </m:dPr>
            <m:e>
              <m:r>
                <w:rPr>
                  <w:rFonts w:ascii="Cambria Math" w:hAnsi="Cambria Math"/>
                </w:rPr>
                <m:t>k</m:t>
              </m:r>
              <m:rad>
                <m:radPr>
                  <m:degHide m:val="1"/>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9F3CAE" w:rsidRDefault="00DD640C">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n-1,δ</m:t>
            </m:r>
          </m:sub>
        </m:sSub>
      </m:oMath>
      <w:r>
        <w:rPr>
          <w:rFonts w:eastAsiaTheme="minorEastAsia"/>
        </w:rPr>
        <w:t xml:space="preserve"> denotes the non-central t distribution function. The last equation can then be solved for </w:t>
      </w:r>
      <m:oMath>
        <m:r>
          <w:rPr>
            <w:rFonts w:ascii="Cambria Math" w:eastAsiaTheme="minorEastAsia" w:hAnsi="Cambria Math"/>
          </w:rPr>
          <m:t>k</m:t>
        </m:r>
      </m:oMath>
      <w:r>
        <w:rPr>
          <w:rFonts w:eastAsiaTheme="minorEastAsia"/>
        </w:rPr>
        <w:t xml:space="preserve">. </w:t>
      </w:r>
    </w:p>
    <w:p w:rsidR="0079660B" w:rsidRDefault="00C84433">
      <w:pPr>
        <w:rPr>
          <w:rFonts w:eastAsiaTheme="minorEastAsia"/>
        </w:rPr>
      </w:pPr>
      <w:r>
        <w:rPr>
          <w:rFonts w:eastAsiaTheme="minorEastAsia"/>
        </w:rPr>
        <w:t>It can thus be seen that</w:t>
      </w:r>
      <w:r w:rsidR="00DD640C">
        <w:rPr>
          <w:rFonts w:eastAsiaTheme="minorEastAsia"/>
        </w:rPr>
        <w:t xml:space="preserve"> the computation of </w:t>
      </w:r>
      <m:oMath>
        <m:r>
          <w:rPr>
            <w:rFonts w:ascii="Cambria Math" w:eastAsiaTheme="minorEastAsia" w:hAnsi="Cambria Math"/>
          </w:rPr>
          <m:t>k</m:t>
        </m:r>
      </m:oMath>
      <w:r w:rsidR="00DD640C">
        <w:rPr>
          <w:rFonts w:eastAsiaTheme="minorEastAsia"/>
        </w:rPr>
        <w:t xml:space="preserve"> depends only on the choice of the </w:t>
      </w:r>
      <m:oMath>
        <m:r>
          <m:rPr>
            <m:nor/>
          </m:rPr>
          <w:rPr>
            <w:rFonts w:ascii="Cambria Math" w:eastAsiaTheme="minorEastAsia" w:hAnsi="Cambria Math"/>
          </w:rPr>
          <m:t>AQL</m:t>
        </m:r>
      </m:oMath>
      <w:r w:rsidR="009A63B1">
        <w:rPr>
          <w:rFonts w:eastAsiaTheme="minorEastAsia"/>
        </w:rPr>
        <w:t xml:space="preserve">, on the sample size </w:t>
      </w:r>
      <m:oMath>
        <m:r>
          <w:rPr>
            <w:rFonts w:ascii="Cambria Math" w:eastAsiaTheme="minorEastAsia" w:hAnsi="Cambria Math"/>
          </w:rPr>
          <m:t>n</m:t>
        </m:r>
      </m:oMath>
      <w:r w:rsidR="009A63B1">
        <w:rPr>
          <w:rFonts w:eastAsiaTheme="minorEastAsia"/>
        </w:rPr>
        <w:t xml:space="preserve"> and on the producer’s risk.</w:t>
      </w:r>
    </w:p>
    <w:p w:rsidR="006309BA" w:rsidRDefault="0079660B">
      <w:pPr>
        <w:rPr>
          <w:rFonts w:eastAsiaTheme="minorEastAsia"/>
        </w:rPr>
      </w:pPr>
      <w:r>
        <w:rPr>
          <w:rFonts w:eastAsiaTheme="minorEastAsia"/>
        </w:rPr>
        <w:t xml:space="preserve">The choice of the producer’s risk (e.g. 5 %) is the direct manifestation of sampling uncertainty (on the assumption that analytical uncertainty is negligible). If analytical uncertainty is not negligible, then the </w:t>
      </w:r>
      <w:r>
        <w:rPr>
          <w:rFonts w:eastAsiaTheme="minorEastAsia"/>
        </w:rPr>
        <w:lastRenderedPageBreak/>
        <w:t xml:space="preserve">producer’s risk is caused by both sampling and analytical uncertainty. It should </w:t>
      </w:r>
      <w:r w:rsidR="00EF5980">
        <w:rPr>
          <w:rFonts w:eastAsiaTheme="minorEastAsia"/>
        </w:rPr>
        <w:t xml:space="preserve">also </w:t>
      </w:r>
      <w:r>
        <w:rPr>
          <w:rFonts w:eastAsiaTheme="minorEastAsia"/>
        </w:rPr>
        <w:t>be noted that t</w:t>
      </w:r>
      <w:r w:rsidR="00C84433">
        <w:rPr>
          <w:rFonts w:eastAsiaTheme="minorEastAsia"/>
        </w:rPr>
        <w:t>he acceptance rule</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w:r w:rsidR="00EF5980">
        <w:rPr>
          <w:rFonts w:eastAsiaTheme="minorEastAsia"/>
        </w:rPr>
        <w:t xml:space="preserve"> </w:t>
      </w:r>
      <w:r w:rsidR="00C84433">
        <w:rPr>
          <w:rFonts w:eastAsiaTheme="minorEastAsia"/>
        </w:rPr>
        <w:t xml:space="preserve">depends indirectly on the sample standard </w:t>
      </w:r>
      <w:proofErr w:type="gramStart"/>
      <w:r w:rsidR="00C84433">
        <w:rPr>
          <w:rFonts w:eastAsiaTheme="minorEastAsia"/>
        </w:rPr>
        <w:t xml:space="preserve">uncertainty </w:t>
      </w:r>
      <w:proofErr w:type="gramEnd"/>
      <m:oMath>
        <m:r>
          <w:rPr>
            <w:rFonts w:ascii="Cambria Math" w:hAnsi="Cambria Math"/>
          </w:rPr>
          <m:t>u(</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hAnsi="Cambria Math"/>
          </w:rPr>
          <m:t>)=S/</m:t>
        </m:r>
        <m:rad>
          <m:radPr>
            <m:degHide m:val="1"/>
            <m:ctrlPr>
              <w:rPr>
                <w:rFonts w:ascii="Cambria Math" w:hAnsi="Cambria Math"/>
                <w:i/>
              </w:rPr>
            </m:ctrlPr>
          </m:radPr>
          <m:deg/>
          <m:e>
            <m:r>
              <w:rPr>
                <w:rFonts w:ascii="Cambria Math" w:hAnsi="Cambria Math"/>
              </w:rPr>
              <m:t>n</m:t>
            </m:r>
          </m:e>
        </m:rad>
      </m:oMath>
      <w:r w:rsidR="00C84433">
        <w:rPr>
          <w:rFonts w:eastAsiaTheme="minorEastAsia"/>
        </w:rPr>
        <w:t xml:space="preserve">. </w:t>
      </w:r>
    </w:p>
    <w:p w:rsidR="00595335" w:rsidRDefault="00595335">
      <w:pPr>
        <w:rPr>
          <w:rFonts w:eastAsiaTheme="minorEastAsia"/>
        </w:rPr>
      </w:pPr>
    </w:p>
    <w:p w:rsidR="0025463E" w:rsidRPr="0025463E" w:rsidRDefault="00595335" w:rsidP="0025463E">
      <w:pPr>
        <w:pStyle w:val="berschrift3"/>
      </w:pPr>
      <w:r>
        <w:t>“</w:t>
      </w:r>
      <m:oMath>
        <m:r>
          <m:rPr>
            <m:sty m:val="bi"/>
          </m:rPr>
          <w:rPr>
            <w:rFonts w:ascii="Cambria Math" w:hAnsi="Cambria Math"/>
          </w:rPr>
          <m:t>σ</m:t>
        </m:r>
      </m:oMath>
      <w:r>
        <w:t>” me</w:t>
      </w:r>
      <w:proofErr w:type="spellStart"/>
      <w:r>
        <w:t>thod</w:t>
      </w:r>
      <w:proofErr w:type="spellEnd"/>
    </w:p>
    <w:p w:rsidR="0025463E" w:rsidRDefault="00595335" w:rsidP="0025463E">
      <w:r>
        <w:rPr>
          <w:rFonts w:eastAsiaTheme="minorEastAsia"/>
        </w:rPr>
        <w:t xml:space="preserve">The </w:t>
      </w:r>
      <w:r w:rsidRPr="0025463E">
        <w:t>dependenc</w:t>
      </w:r>
      <w:r w:rsidR="00EF5980">
        <w:t xml:space="preserve">e </w:t>
      </w:r>
      <w:r w:rsidRPr="0025463E">
        <w:t xml:space="preserve">of the decision rule on the sample standard uncertainty </w:t>
      </w:r>
      <m:oMath>
        <m:r>
          <w:rPr>
            <w:rFonts w:ascii="Cambria Math" w:hAnsi="Cambria Math"/>
          </w:rPr>
          <m:t>u(</m:t>
        </m:r>
        <m:acc>
          <m:accPr>
            <m:chr m:val="̅"/>
            <m:ctrlPr>
              <w:rPr>
                <w:rFonts w:ascii="Cambria Math" w:hAnsi="Cambria Math"/>
                <w:i/>
              </w:rPr>
            </m:ctrlPr>
          </m:accPr>
          <m:e>
            <m:r>
              <w:rPr>
                <w:rFonts w:ascii="Cambria Math" w:hAnsi="Cambria Math"/>
              </w:rPr>
              <m:t>X</m:t>
            </m:r>
          </m:e>
        </m:acc>
        <m:r>
          <w:rPr>
            <w:rFonts w:ascii="Cambria Math" w:hAnsi="Cambria Math"/>
          </w:rPr>
          <m:t>)</m:t>
        </m:r>
      </m:oMath>
      <w:r w:rsidRPr="0025463E">
        <w:t xml:space="preserve"> is </w:t>
      </w:r>
      <w:r w:rsidR="0025463E" w:rsidRPr="0025463E">
        <w:t>more obvious for the “</w:t>
      </w:r>
      <m:oMath>
        <m:r>
          <w:rPr>
            <w:rFonts w:ascii="Cambria Math" w:hAnsi="Cambria Math"/>
          </w:rPr>
          <m:t>σ</m:t>
        </m:r>
      </m:oMath>
      <w:r w:rsidR="0025463E" w:rsidRPr="0025463E">
        <w:t>” method</w:t>
      </w:r>
      <w:r w:rsidR="0025463E">
        <w:t>. For this method, the empirical standard deviation “S” is replaced by the theoretical (known) standard deviation “</w:t>
      </w:r>
      <m:oMath>
        <m:r>
          <w:rPr>
            <w:rFonts w:ascii="Cambria Math" w:hAnsi="Cambria Math"/>
          </w:rPr>
          <m:t>σ</m:t>
        </m:r>
      </m:oMath>
      <w:r w:rsidR="0025463E">
        <w:t>”.</w:t>
      </w:r>
    </w:p>
    <w:p w:rsidR="00437FA7" w:rsidRDefault="00990D86" w:rsidP="0025463E">
      <w:r>
        <w:t>T</w:t>
      </w:r>
      <w:r w:rsidR="00437FA7">
        <w:t xml:space="preserve">he probability for acceptance </w:t>
      </w:r>
      <w:r>
        <w:t xml:space="preserve">for the </w:t>
      </w:r>
      <w:r w:rsidRPr="0025463E">
        <w:t>“</w:t>
      </w:r>
      <m:oMath>
        <m:r>
          <w:rPr>
            <w:rFonts w:ascii="Cambria Math" w:hAnsi="Cambria Math"/>
          </w:rPr>
          <m:t>σ</m:t>
        </m:r>
      </m:oMath>
      <w:r w:rsidRPr="0025463E">
        <w:t>” method</w:t>
      </w:r>
      <w:r>
        <w:t xml:space="preserve"> </w:t>
      </w:r>
      <w:r w:rsidR="00437FA7">
        <w:t>can be computed</w:t>
      </w:r>
    </w:p>
    <w:p w:rsidR="004722FD" w:rsidRPr="006309BA" w:rsidRDefault="004722FD" w:rsidP="004722FD">
      <w:pPr>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m:t>
              </m:r>
              <m:r>
                <w:rPr>
                  <w:rFonts w:ascii="Cambria Math" w:hAnsi="Cambria Math"/>
                </w:rPr>
                <m:t>σ</m:t>
              </m:r>
              <m:r>
                <w:rPr>
                  <w:rFonts w:ascii="Cambria Math" w:eastAsiaTheme="minorEastAsia" w:hAnsi="Cambria Math"/>
                </w:rPr>
                <m:t>≥L</m:t>
              </m:r>
            </m:e>
          </m:d>
          <m:r>
            <w:rPr>
              <w:rFonts w:ascii="Cambria Math" w:hAnsi="Cambria Math"/>
            </w:rPr>
            <m:t>=P</m:t>
          </m:r>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-μ</m:t>
                      </m:r>
                    </m:e>
                  </m:d>
                </m:num>
                <m:den>
                  <m:r>
                    <w:rPr>
                      <w:rFonts w:ascii="Cambria Math" w:hAnsi="Cambria Math"/>
                    </w:rPr>
                    <m:t>σ</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≥k</m:t>
              </m:r>
              <m:rad>
                <m:radPr>
                  <m:degHide m:val="1"/>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4722FD" w:rsidRDefault="004722FD" w:rsidP="004722FD">
      <w:pPr>
        <w:rPr>
          <w:rFonts w:eastAsiaTheme="minorEastAsia"/>
        </w:rPr>
      </w:pPr>
      <m:oMathPara>
        <m:oMath>
          <m:r>
            <w:rPr>
              <w:rFonts w:ascii="Cambria Math" w:eastAsiaTheme="minorEastAsia" w:hAnsi="Cambria Math"/>
            </w:rPr>
            <m:t>=1-</m:t>
          </m:r>
          <m:r>
            <m:rPr>
              <m:sty m:val="p"/>
            </m:rPr>
            <w:rPr>
              <w:rFonts w:ascii="Cambria Math" w:eastAsiaTheme="minorEastAsia" w:hAnsi="Cambria Math"/>
            </w:rPr>
            <m:t>Φ</m:t>
          </m:r>
          <m:d>
            <m:dPr>
              <m:ctrlPr>
                <w:rPr>
                  <w:rFonts w:ascii="Cambria Math" w:eastAsiaTheme="minorEastAsia" w:hAnsi="Cambria Math"/>
                  <w:i/>
                </w:rPr>
              </m:ctrlPr>
            </m:dPr>
            <m:e>
              <m:r>
                <w:rPr>
                  <w:rFonts w:ascii="Cambria Math" w:hAnsi="Cambria Math"/>
                </w:rPr>
                <m:t>k</m:t>
              </m:r>
              <m:rad>
                <m:radPr>
                  <m:degHide m:val="1"/>
                  <m:ctrlPr>
                    <w:rPr>
                      <w:rFonts w:ascii="Cambria Math" w:hAnsi="Cambria Math"/>
                      <w:i/>
                    </w:rPr>
                  </m:ctrlPr>
                </m:radPr>
                <m:deg/>
                <m:e>
                  <m:r>
                    <w:rPr>
                      <w:rFonts w:ascii="Cambria Math" w:hAnsi="Cambria Math"/>
                    </w:rPr>
                    <m:t>n</m:t>
                  </m:r>
                </m:e>
              </m:rad>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e>
          </m:d>
          <m:r>
            <w:rPr>
              <w:rFonts w:ascii="Cambria Math" w:eastAsiaTheme="minorEastAsia" w:hAnsi="Cambria Math"/>
            </w:rPr>
            <m:t>,</m:t>
          </m:r>
        </m:oMath>
      </m:oMathPara>
    </w:p>
    <w:p w:rsidR="004722FD" w:rsidRPr="006309BA" w:rsidRDefault="004722FD" w:rsidP="004722FD">
      <w:pPr>
        <w:rPr>
          <w:rFonts w:eastAsiaTheme="minorEastAsia"/>
        </w:rPr>
      </w:pPr>
      <w:r>
        <w:rPr>
          <w:rFonts w:eastAsiaTheme="minorEastAsia"/>
        </w:rPr>
        <w:t>In the computation of</w:t>
      </w:r>
      <w:r w:rsidRPr="009A63B1">
        <w:rPr>
          <w:rFonts w:eastAsiaTheme="minorEastAsia"/>
        </w:rPr>
        <w:t xml:space="preserve"> </w:t>
      </w:r>
      <w:r>
        <w:rPr>
          <w:rFonts w:eastAsiaTheme="minorEastAsia"/>
        </w:rPr>
        <w:t xml:space="preserve">the acceptability constant </w:t>
      </w:r>
      <m:oMath>
        <m:r>
          <w:rPr>
            <w:rFonts w:ascii="Cambria Math" w:eastAsiaTheme="minorEastAsia" w:hAnsi="Cambria Math"/>
          </w:rPr>
          <m:t>k</m:t>
        </m:r>
      </m:oMath>
      <w:r>
        <w:rPr>
          <w:rFonts w:eastAsiaTheme="minorEastAsia"/>
        </w:rPr>
        <w:t xml:space="preserve">, </w:t>
      </w:r>
      <w:r w:rsidR="00437FA7">
        <w:rPr>
          <w:rFonts w:eastAsiaTheme="minorEastAsia"/>
        </w:rPr>
        <w:t xml:space="preserve">again </w:t>
      </w:r>
      <w:r>
        <w:rPr>
          <w:rFonts w:eastAsiaTheme="minorEastAsia"/>
        </w:rPr>
        <w:t xml:space="preserve">the producer’s risk is prioritized. </w:t>
      </w:r>
      <w:r w:rsidR="00EF5980">
        <w:rPr>
          <w:rFonts w:eastAsiaTheme="minorEastAsia"/>
        </w:rPr>
        <w:t xml:space="preserve">Substituting the expression for the percentage of items nonconforming </w:t>
      </w:r>
      <m:oMath>
        <m:r>
          <m:rPr>
            <m:nor/>
          </m:rPr>
          <w:rPr>
            <w:rFonts w:ascii="Cambria Math" w:eastAsiaTheme="minorEastAsia" w:hAnsi="Cambria Math"/>
          </w:rPr>
          <m:t>AQL</m:t>
        </m:r>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oMath>
      <w:r>
        <w:rPr>
          <w:rFonts w:eastAsiaTheme="minorEastAsia"/>
        </w:rPr>
        <w:t xml:space="preserve"> </w:t>
      </w:r>
      <w:r w:rsidR="00EF5980">
        <w:rPr>
          <w:rFonts w:eastAsiaTheme="minorEastAsia"/>
        </w:rPr>
        <w:t xml:space="preserve">(as above), we obtain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m:t>
        </m:r>
        <m:rad>
          <m:radPr>
            <m:degHide m:val="1"/>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w:p>
    <w:p w:rsidR="004722FD" w:rsidRDefault="00437FA7" w:rsidP="004722FD">
      <w:pPr>
        <w:rPr>
          <w:rFonts w:eastAsiaTheme="minorEastAsia"/>
        </w:rPr>
      </w:pPr>
      <w:r>
        <w:rPr>
          <w:rFonts w:eastAsiaTheme="minorEastAsia"/>
        </w:rPr>
        <w:t>F</w:t>
      </w:r>
      <w:r w:rsidR="004722FD">
        <w:rPr>
          <w:rFonts w:eastAsiaTheme="minorEastAsia"/>
        </w:rPr>
        <w:t>or the probability of acceptance</w:t>
      </w:r>
      <w:r>
        <w:rPr>
          <w:rFonts w:eastAsiaTheme="minorEastAsia"/>
        </w:rPr>
        <w:t xml:space="preserve"> we obtain</w:t>
      </w:r>
      <w:r w:rsidR="004722FD">
        <w:rPr>
          <w:rFonts w:eastAsiaTheme="minorEastAsia"/>
        </w:rPr>
        <w:t>:</w:t>
      </w:r>
    </w:p>
    <w:p w:rsidR="004722FD" w:rsidRPr="00DD640C" w:rsidRDefault="009B2AF7" w:rsidP="004722F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=95 %=</m:t>
          </m:r>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m:t>
              </m:r>
              <m:r>
                <w:rPr>
                  <w:rFonts w:ascii="Cambria Math" w:hAnsi="Cambria Math"/>
                </w:rPr>
                <m:t>σ</m:t>
              </m:r>
              <m:r>
                <w:rPr>
                  <w:rFonts w:ascii="Cambria Math" w:eastAsiaTheme="minorEastAsia" w:hAnsi="Cambria Math"/>
                </w:rPr>
                <m:t>≥L</m:t>
              </m:r>
            </m:e>
          </m:d>
          <m:r>
            <w:rPr>
              <w:rFonts w:ascii="Cambria Math" w:eastAsiaTheme="minorEastAsia" w:hAnsi="Cambria Math"/>
            </w:rPr>
            <m:t>=1-</m:t>
          </m:r>
          <m:r>
            <m:rPr>
              <m:sty m:val="p"/>
            </m:rPr>
            <w:rPr>
              <w:rFonts w:ascii="Cambria Math" w:eastAsiaTheme="minorEastAsia" w:hAnsi="Cambria Math"/>
            </w:rPr>
            <m:t>Φ</m:t>
          </m:r>
          <m:d>
            <m:dPr>
              <m:ctrlPr>
                <w:rPr>
                  <w:rFonts w:ascii="Cambria Math" w:eastAsiaTheme="minorEastAsia" w:hAnsi="Cambria Math"/>
                  <w:i/>
                </w:rPr>
              </m:ctrlPr>
            </m:dPr>
            <m:e>
              <m:r>
                <w:rPr>
                  <w:rFonts w:ascii="Cambria Math" w:hAnsi="Cambria Math"/>
                </w:rPr>
                <m:t>k</m:t>
              </m:r>
              <m:rad>
                <m:radPr>
                  <m:degHide m:val="1"/>
                  <m:ctrlPr>
                    <w:rPr>
                      <w:rFonts w:ascii="Cambria Math" w:hAnsi="Cambria Math"/>
                      <w:i/>
                    </w:rPr>
                  </m:ctrlPr>
                </m:radPr>
                <m:deg/>
                <m:e>
                  <m:r>
                    <w:rPr>
                      <w:rFonts w:ascii="Cambria Math" w:hAnsi="Cambria Math"/>
                    </w:rPr>
                    <m:t>n</m:t>
                  </m:r>
                </m:e>
              </m:rad>
              <m:r>
                <w:rPr>
                  <w:rFonts w:ascii="Cambria Math" w:eastAsiaTheme="minorEastAsia" w:hAnsi="Cambria Math"/>
                </w:rPr>
                <m:t>+</m:t>
              </m:r>
              <m:rad>
                <m:radPr>
                  <m:degHide m:val="1"/>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e>
          </m:d>
          <m:r>
            <w:rPr>
              <w:rFonts w:ascii="Cambria Math" w:eastAsiaTheme="minorEastAsia" w:hAnsi="Cambria Math"/>
            </w:rPr>
            <m:t>.</m:t>
          </m:r>
        </m:oMath>
      </m:oMathPara>
    </w:p>
    <w:p w:rsidR="00E07F1B" w:rsidRDefault="004722FD" w:rsidP="004722FD">
      <w:pPr>
        <w:rPr>
          <w:rFonts w:eastAsiaTheme="minorEastAsia"/>
        </w:rPr>
      </w:pPr>
      <w:r>
        <w:rPr>
          <w:rFonts w:eastAsiaTheme="minorEastAsia"/>
        </w:rPr>
        <w:t xml:space="preserve">The last equation can then be solved for </w:t>
      </w:r>
      <m:oMath>
        <m:r>
          <w:rPr>
            <w:rFonts w:ascii="Cambria Math" w:eastAsiaTheme="minorEastAsia" w:hAnsi="Cambria Math"/>
          </w:rPr>
          <m:t>k</m:t>
        </m:r>
      </m:oMath>
      <w:r>
        <w:rPr>
          <w:rFonts w:eastAsiaTheme="minorEastAsia"/>
        </w:rPr>
        <w:t xml:space="preserve">. </w:t>
      </w:r>
    </w:p>
    <w:p w:rsidR="00E07F1B" w:rsidRPr="00E07F1B" w:rsidRDefault="00E07F1B" w:rsidP="00E07F1B">
      <w:pPr>
        <w:rPr>
          <w:rFonts w:eastAsiaTheme="minorEastAsia"/>
        </w:rPr>
      </w:pPr>
      <m:oMathPara>
        <m:oMath>
          <m:r>
            <w:rPr>
              <w:rFonts w:ascii="Cambria Math" w:hAnsi="Cambria Math"/>
            </w:rPr>
            <m:t>k</m:t>
          </m:r>
          <m:rad>
            <m:radPr>
              <m:degHide m:val="1"/>
              <m:ctrlPr>
                <w:rPr>
                  <w:rFonts w:ascii="Cambria Math" w:hAnsi="Cambria Math"/>
                  <w:i/>
                </w:rPr>
              </m:ctrlPr>
            </m:radPr>
            <m:deg/>
            <m:e>
              <m:r>
                <w:rPr>
                  <w:rFonts w:ascii="Cambria Math" w:hAnsi="Cambria Math"/>
                </w:rPr>
                <m:t>n</m:t>
              </m:r>
            </m:e>
          </m:rad>
          <m:r>
            <w:rPr>
              <w:rFonts w:ascii="Cambria Math" w:eastAsiaTheme="minorEastAsia" w:hAnsi="Cambria Math"/>
            </w:rPr>
            <m:t>+</m:t>
          </m:r>
          <m:rad>
            <m:radPr>
              <m:degHide m:val="1"/>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eastAsiaTheme="minorEastAsia" w:hAnsi="Cambria Math"/>
            </w:rPr>
            <m:t>.</m:t>
          </m:r>
        </m:oMath>
      </m:oMathPara>
    </w:p>
    <w:p w:rsidR="00E07F1B" w:rsidRPr="00437FA7" w:rsidRDefault="00E07F1B" w:rsidP="00E07F1B">
      <w:pPr>
        <w:rPr>
          <w:rFonts w:eastAsiaTheme="minorEastAsia"/>
        </w:rPr>
      </w:pPr>
      <m:oMathPara>
        <m:oMath>
          <m:r>
            <w:rPr>
              <w:rFonts w:ascii="Cambria Math" w:hAnsi="Cambria Math"/>
            </w:rPr>
            <m:t>k</m:t>
          </m:r>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eastAsiaTheme="minorEastAsia" w:hAnsi="Cambria Math"/>
            </w:rPr>
            <m:t>/</m:t>
          </m:r>
          <m:rad>
            <m:radPr>
              <m:degHide m:val="1"/>
              <m:ctrlPr>
                <w:rPr>
                  <w:rFonts w:ascii="Cambria Math" w:hAnsi="Cambria Math"/>
                  <w:i/>
                </w:rPr>
              </m:ctrlPr>
            </m:radPr>
            <m:deg/>
            <m:e>
              <m:r>
                <w:rPr>
                  <w:rFonts w:ascii="Cambria Math" w:hAnsi="Cambria Math"/>
                </w:rPr>
                <m:t>n</m:t>
              </m:r>
            </m:e>
          </m:ra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m:oMathPara>
    </w:p>
    <w:p w:rsidR="004722FD" w:rsidRDefault="00EF5980" w:rsidP="004722FD">
      <w:pPr>
        <w:rPr>
          <w:rFonts w:eastAsiaTheme="minorEastAsia"/>
        </w:rPr>
      </w:pPr>
      <w:r>
        <w:rPr>
          <w:rFonts w:eastAsiaTheme="minorEastAsia"/>
        </w:rPr>
        <w:t xml:space="preserve">As for the “s” method, </w:t>
      </w:r>
      <m:oMath>
        <m:r>
          <w:rPr>
            <w:rFonts w:ascii="Cambria Math" w:eastAsiaTheme="minorEastAsia" w:hAnsi="Cambria Math"/>
          </w:rPr>
          <m:t>k</m:t>
        </m:r>
      </m:oMath>
      <w:r>
        <w:rPr>
          <w:rFonts w:eastAsiaTheme="minorEastAsia"/>
        </w:rPr>
        <w:t xml:space="preserve"> thus depends only 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oMath>
      <w:r>
        <w:rPr>
          <w:rFonts w:eastAsiaTheme="minorEastAsia"/>
        </w:rPr>
        <w:t xml:space="preserve">, </w:t>
      </w:r>
      <m:oMath>
        <m:r>
          <w:rPr>
            <w:rFonts w:ascii="Cambria Math" w:eastAsiaTheme="minorEastAsia" w:hAnsi="Cambria Math"/>
          </w:rPr>
          <m:t>AQL</m:t>
        </m:r>
      </m:oMath>
      <w:r w:rsidR="00EF3A42">
        <w:rPr>
          <w:rFonts w:eastAsiaTheme="minorEastAsia"/>
        </w:rPr>
        <w:t xml:space="preserve"> and on the sample size </w:t>
      </w:r>
      <m:oMath>
        <m:r>
          <w:rPr>
            <w:rFonts w:ascii="Cambria Math" w:eastAsiaTheme="minorEastAsia" w:hAnsi="Cambria Math"/>
          </w:rPr>
          <m:t>n</m:t>
        </m:r>
      </m:oMath>
      <w:r w:rsidR="00EF3A42">
        <w:rPr>
          <w:rFonts w:eastAsiaTheme="minorEastAsia"/>
        </w:rPr>
        <w:t xml:space="preserve">. Again, the sampling uncertainty (in the absence of analytical uncertainty) is the sole source of random variability – and thus the producer’s risk is the acknowledged and controlled manifestation of the sampling uncertainty. </w:t>
      </w:r>
    </w:p>
    <w:p w:rsidR="00437FA7" w:rsidRPr="002D7C95" w:rsidRDefault="00437FA7" w:rsidP="00437FA7">
      <w:pPr>
        <w:pStyle w:val="berschrift4"/>
      </w:pPr>
      <w:r>
        <w:t>An alternative decision rule A for acceptance based on sample uncertainty and producer’s risk</w:t>
      </w:r>
    </w:p>
    <w:p w:rsidR="00437FA7" w:rsidRPr="00B765F6" w:rsidRDefault="00437FA7" w:rsidP="00437FA7">
      <w:pPr>
        <w:rPr>
          <w:rFonts w:eastAsiaTheme="minorEastAsia"/>
        </w:rPr>
      </w:pPr>
      <w:r>
        <w:rPr>
          <w:rFonts w:eastAsiaTheme="minorEastAsia"/>
        </w:rPr>
        <w:t>With the following parameters</w:t>
      </w:r>
      <w:r w:rsidR="00F44D76">
        <w:rPr>
          <w:rFonts w:eastAsiaTheme="minorEastAsia"/>
        </w:rPr>
        <w:t>:</w:t>
      </w:r>
    </w:p>
    <w:p w:rsidR="00437FA7" w:rsidRDefault="00EF3A42" w:rsidP="00437FA7">
      <w:pPr>
        <w:pStyle w:val="Listenabsatz"/>
        <w:numPr>
          <w:ilvl w:val="0"/>
          <w:numId w:val="9"/>
        </w:numPr>
        <w:rPr>
          <w:rFonts w:eastAsiaTheme="minorEastAsia"/>
        </w:rPr>
      </w:pPr>
      <w:r>
        <w:rPr>
          <w:rFonts w:eastAsiaTheme="minorEastAsia"/>
        </w:rPr>
        <w:t xml:space="preserve">the </w:t>
      </w:r>
      <w:r w:rsidR="00437FA7">
        <w:rPr>
          <w:rFonts w:eastAsiaTheme="minorEastAsia"/>
        </w:rPr>
        <w:t>sample</w:t>
      </w:r>
      <w:r w:rsidR="00437FA7" w:rsidRPr="00B765F6">
        <w:rPr>
          <w:rFonts w:eastAsiaTheme="minorEastAsia"/>
        </w:rPr>
        <w:t xml:space="preserve"> average </w:t>
      </w:r>
      <m:oMath>
        <m:acc>
          <m:accPr>
            <m:chr m:val="̅"/>
            <m:ctrlPr>
              <w:rPr>
                <w:rFonts w:ascii="Cambria Math" w:hAnsi="Cambria Math"/>
                <w:i/>
              </w:rPr>
            </m:ctrlPr>
          </m:accPr>
          <m:e>
            <m:r>
              <w:rPr>
                <w:rFonts w:ascii="Cambria Math" w:hAnsi="Cambria Math"/>
              </w:rPr>
              <m:t>X</m:t>
            </m:r>
          </m:e>
        </m:acc>
      </m:oMath>
      <w:r w:rsidR="00437FA7" w:rsidRPr="00B765F6">
        <w:rPr>
          <w:rFonts w:eastAsiaTheme="minorEastAsia"/>
        </w:rPr>
        <w:t xml:space="preserve"> </w:t>
      </w:r>
      <w:r w:rsidR="00437FA7">
        <w:rPr>
          <w:rFonts w:eastAsiaTheme="minorEastAsia"/>
        </w:rPr>
        <w:t xml:space="preserve">, </w:t>
      </w:r>
    </w:p>
    <w:p w:rsidR="00437FA7" w:rsidRDefault="00437FA7" w:rsidP="00437FA7">
      <w:pPr>
        <w:pStyle w:val="Listenabsatz"/>
        <w:numPr>
          <w:ilvl w:val="0"/>
          <w:numId w:val="9"/>
        </w:numPr>
        <w:rPr>
          <w:rFonts w:eastAsiaTheme="minorEastAsia"/>
        </w:rPr>
      </w:pPr>
      <w:r w:rsidRPr="00B765F6">
        <w:rPr>
          <w:rFonts w:eastAsiaTheme="minorEastAsia"/>
        </w:rPr>
        <w:t xml:space="preserve">the sample uncertainty </w:t>
      </w:r>
      <m:oMath>
        <m:r>
          <w:rPr>
            <w:rFonts w:ascii="Cambria Math" w:eastAsiaTheme="minorEastAsia" w:hAnsi="Cambria Math"/>
          </w:rPr>
          <m:t>u</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r>
          <w:rPr>
            <w:rFonts w:ascii="Cambria Math" w:hAnsi="Cambria Math"/>
          </w:rPr>
          <m:t>σ/</m:t>
        </m:r>
        <m:rad>
          <m:radPr>
            <m:degHide m:val="1"/>
            <m:ctrlPr>
              <w:rPr>
                <w:rFonts w:ascii="Cambria Math" w:hAnsi="Cambria Math"/>
                <w:i/>
              </w:rPr>
            </m:ctrlPr>
          </m:radPr>
          <m:deg/>
          <m:e>
            <m:r>
              <w:rPr>
                <w:rFonts w:ascii="Cambria Math" w:hAnsi="Cambria Math"/>
              </w:rPr>
              <m:t>n</m:t>
            </m:r>
          </m:e>
        </m:rad>
      </m:oMath>
      <w:r w:rsidRPr="00B765F6">
        <w:rPr>
          <w:rFonts w:eastAsiaTheme="minorEastAsia"/>
        </w:rPr>
        <w:t xml:space="preserve"> </w:t>
      </w:r>
      <w:r>
        <w:rPr>
          <w:rFonts w:eastAsiaTheme="minorEastAsia"/>
        </w:rPr>
        <w:t xml:space="preserve">, </w:t>
      </w:r>
    </w:p>
    <w:p w:rsidR="00437FA7" w:rsidRDefault="00437FA7" w:rsidP="00437FA7">
      <w:pPr>
        <w:pStyle w:val="Listenabsatz"/>
        <w:numPr>
          <w:ilvl w:val="0"/>
          <w:numId w:val="9"/>
        </w:numPr>
        <w:rPr>
          <w:rFonts w:eastAsiaTheme="minorEastAsia"/>
        </w:rPr>
      </w:pPr>
      <w:r w:rsidRPr="00B765F6">
        <w:rPr>
          <w:rFonts w:eastAsiaTheme="minorEastAsia"/>
        </w:rPr>
        <w:t xml:space="preserve">the expanded uncertainty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hAnsi="Cambria Math"/>
          </w:rPr>
          <m:t>∙σ/</m:t>
        </m:r>
        <m:rad>
          <m:radPr>
            <m:degHide m:val="1"/>
            <m:ctrlPr>
              <w:rPr>
                <w:rFonts w:ascii="Cambria Math" w:hAnsi="Cambria Math"/>
                <w:i/>
              </w:rPr>
            </m:ctrlPr>
          </m:radPr>
          <m:deg/>
          <m:e>
            <m:r>
              <w:rPr>
                <w:rFonts w:ascii="Cambria Math" w:hAnsi="Cambria Math"/>
              </w:rPr>
              <m:t>n</m:t>
            </m:r>
          </m:e>
        </m:rad>
      </m:oMath>
      <w:r w:rsidRPr="00B765F6">
        <w:rPr>
          <w:rFonts w:eastAsiaTheme="minorEastAsia"/>
        </w:rPr>
        <w:t xml:space="preserve"> with the 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oMath>
      <w:r w:rsidRPr="00B765F6">
        <w:rPr>
          <w:rFonts w:eastAsiaTheme="minorEastAsia"/>
        </w:rPr>
        <w:t xml:space="preserve"> based on the producer’s risk</w:t>
      </w:r>
      <w:r w:rsidR="00EF3A42">
        <w:rPr>
          <w:rFonts w:eastAsiaTheme="minorEastAsia"/>
        </w:rPr>
        <w:t xml:space="preserve"> (say,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=0.95=1-</m:t>
        </m:r>
        <m:r>
          <m:rPr>
            <m:nor/>
          </m:rPr>
          <w:rPr>
            <w:rFonts w:ascii="Cambria Math" w:eastAsiaTheme="minorEastAsia" w:hAnsi="Cambria Math"/>
          </w:rPr>
          <m:t>producer's risk</m:t>
        </m:r>
      </m:oMath>
      <w:r w:rsidR="00EF3A42">
        <w:rPr>
          <w:rFonts w:eastAsiaTheme="minorEastAsia"/>
        </w:rPr>
        <w:t>)</w:t>
      </w:r>
      <w:r w:rsidRPr="00B765F6">
        <w:rPr>
          <w:rFonts w:eastAsiaTheme="minorEastAsia"/>
        </w:rPr>
        <w:t xml:space="preserve">, </w:t>
      </w:r>
    </w:p>
    <w:p w:rsidR="00437FA7" w:rsidRDefault="00437FA7" w:rsidP="00437FA7">
      <w:pPr>
        <w:pStyle w:val="Listenabsatz"/>
        <w:numPr>
          <w:ilvl w:val="0"/>
          <w:numId w:val="9"/>
        </w:numPr>
        <w:rPr>
          <w:rFonts w:eastAsiaTheme="minorEastAsia"/>
        </w:rPr>
      </w:pPr>
      <w:r>
        <w:rPr>
          <w:rFonts w:eastAsiaTheme="minorEastAsia"/>
        </w:rPr>
        <w:t xml:space="preserve">the </w:t>
      </w:r>
      <m:oMath>
        <m:r>
          <w:rPr>
            <w:rFonts w:ascii="Cambria Math" w:eastAsiaTheme="minorEastAsia" w:hAnsi="Cambria Math"/>
          </w:rPr>
          <m:t>AQL</m:t>
        </m:r>
      </m:oMath>
      <w:r>
        <w:rPr>
          <w:rFonts w:eastAsiaTheme="minorEastAsia"/>
        </w:rPr>
        <w:t xml:space="preserve"> and</w:t>
      </w:r>
    </w:p>
    <w:p w:rsidR="00437FA7" w:rsidRDefault="00437FA7" w:rsidP="00437FA7">
      <w:pPr>
        <w:pStyle w:val="Listenabsatz"/>
        <w:numPr>
          <w:ilvl w:val="0"/>
          <w:numId w:val="9"/>
        </w:numPr>
        <w:rPr>
          <w:rFonts w:eastAsiaTheme="minorEastAsia"/>
        </w:rPr>
      </w:pPr>
      <w:r w:rsidRPr="00B765F6">
        <w:rPr>
          <w:rFonts w:eastAsiaTheme="minorEastAsia"/>
        </w:rPr>
        <w:lastRenderedPageBreak/>
        <w:t xml:space="preserve">the </w:t>
      </w:r>
      <w:r w:rsidR="001E39A7">
        <w:rPr>
          <w:rFonts w:eastAsiaTheme="minorEastAsia"/>
        </w:rPr>
        <w:t>AQL</w:t>
      </w:r>
      <w:r w:rsidRPr="00B765F6">
        <w:rPr>
          <w:rFonts w:eastAsiaTheme="minorEastAsia"/>
        </w:rPr>
        <w:t xml:space="preserve"> </w:t>
      </w:r>
      <w:r w:rsidR="007B0B4A">
        <w:rPr>
          <w:rFonts w:eastAsiaTheme="minorEastAsia"/>
        </w:rPr>
        <w:t xml:space="preserve">process </w:t>
      </w:r>
      <w:r w:rsidRPr="00B765F6">
        <w:rPr>
          <w:rFonts w:eastAsiaTheme="minorEastAsia"/>
        </w:rPr>
        <w:t>mean</w:t>
      </w:r>
      <w:r w:rsidR="001E39A7">
        <w:rPr>
          <w:rFonts w:eastAsiaTheme="minorEastAsia"/>
        </w:rPr>
        <w:t xml:space="preserve"> of the measured characteristic</w:t>
      </w:r>
      <w:r w:rsidRPr="00B765F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w:r w:rsidRPr="00B765F6">
        <w:rPr>
          <w:rFonts w:eastAsiaTheme="minorEastAsia"/>
        </w:rPr>
        <w:t xml:space="preserve"> </w:t>
      </w:r>
      <w:r>
        <w:rPr>
          <w:rFonts w:eastAsiaTheme="minorEastAsia"/>
        </w:rPr>
        <w:t>at which the fraction of nonconforming items equals AQL</w:t>
      </w:r>
      <w:r w:rsidR="00EF3A42">
        <w:rPr>
          <w:rFonts w:eastAsiaTheme="minorEastAsia"/>
        </w:rPr>
        <w:t xml:space="preserve"> (by this definition of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sidR="00EF3A42">
        <w:rPr>
          <w:rFonts w:eastAsiaTheme="minorEastAsia"/>
        </w:rPr>
        <w:t xml:space="preserve"> we have </w:t>
      </w:r>
      <m:oMath>
        <m:r>
          <w:rPr>
            <w:rFonts w:ascii="Cambria Math" w:eastAsiaTheme="minorEastAsia" w:hAnsi="Cambria Math"/>
          </w:rPr>
          <m:t>AQL=</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num>
              <m:den>
                <m:r>
                  <w:rPr>
                    <w:rFonts w:ascii="Cambria Math" w:eastAsiaTheme="minorEastAsia" w:hAnsi="Cambria Math"/>
                  </w:rPr>
                  <m:t>σ</m:t>
                </m:r>
              </m:den>
            </m:f>
          </m:e>
        </m:d>
      </m:oMath>
      <w:r w:rsidR="00EF3A42">
        <w:rPr>
          <w:rFonts w:eastAsiaTheme="minorEastAsia"/>
        </w:rPr>
        <w:t>)</w:t>
      </w:r>
      <w:r w:rsidR="00F44D76">
        <w:rPr>
          <w:rFonts w:eastAsiaTheme="minorEastAsia"/>
        </w:rPr>
        <w:t>,</w:t>
      </w:r>
      <w:r>
        <w:rPr>
          <w:rFonts w:eastAsiaTheme="minorEastAsia"/>
        </w:rPr>
        <w:t xml:space="preserve"> </w:t>
      </w:r>
    </w:p>
    <w:p w:rsidR="00437FA7" w:rsidRDefault="00437FA7" w:rsidP="00437FA7">
      <w:pPr>
        <w:rPr>
          <w:rFonts w:eastAsiaTheme="minorEastAsia"/>
        </w:rPr>
      </w:pPr>
      <w:proofErr w:type="gramStart"/>
      <w:r>
        <w:rPr>
          <w:rFonts w:eastAsiaTheme="minorEastAsia"/>
        </w:rPr>
        <w:t>the</w:t>
      </w:r>
      <w:proofErr w:type="gramEnd"/>
      <w:r>
        <w:rPr>
          <w:rFonts w:eastAsiaTheme="minorEastAsia"/>
        </w:rPr>
        <w:t xml:space="preserve"> decision rule A is defined as follows:</w:t>
      </w:r>
      <w:r w:rsidR="001E39A7">
        <w:rPr>
          <w:rFonts w:eastAsiaTheme="minorEastAsia"/>
        </w:rPr>
        <w:t xml:space="preserve"> </w:t>
      </w:r>
      <w:r>
        <w:rPr>
          <w:rFonts w:eastAsiaTheme="minorEastAsia"/>
        </w:rPr>
        <w:t xml:space="preserve">The lot will be rejected if the uncertainty interval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oMath>
      <w:r>
        <w:rPr>
          <w:rFonts w:eastAsiaTheme="minorEastAsia"/>
        </w:rPr>
        <w:t xml:space="preserve"> is completely below the critical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Pr>
          <w:rFonts w:eastAsiaTheme="minorEastAsia"/>
        </w:rPr>
        <w:t xml:space="preserve"> without overlap, i.e.</w:t>
      </w:r>
      <w:r w:rsidR="001D47E1">
        <w:rPr>
          <w:rFonts w:eastAsiaTheme="minorEastAsia"/>
        </w:rPr>
        <w:t xml:space="preserve"> if</w:t>
      </w:r>
      <w:r>
        <w:rPr>
          <w:rFonts w:eastAsiaTheme="minorEastAsia"/>
        </w:rPr>
        <w:t xml:space="preserve"> </w:t>
      </w:r>
      <m:oMath>
        <m:acc>
          <m:accPr>
            <m:chr m:val="̅"/>
            <m:ctrlPr>
              <w:rPr>
                <w:rFonts w:ascii="Cambria Math" w:hAnsi="Cambria Math"/>
                <w:i/>
              </w:rPr>
            </m:ctrlPr>
          </m:accPr>
          <m:e>
            <m:r>
              <w:rPr>
                <w:rFonts w:ascii="Cambria Math" w:hAnsi="Cambria Math"/>
              </w:rPr>
              <m:t>X</m:t>
            </m:r>
          </m:e>
        </m:acc>
      </m:oMath>
      <w:r w:rsidR="001D47E1">
        <w:rPr>
          <w:rFonts w:eastAsiaTheme="minorEastAsia"/>
        </w:rPr>
        <w:t xml:space="preserve"> is significantly higher</w:t>
      </w:r>
      <w:r w:rsidR="00BC3159">
        <w:rPr>
          <w:rFonts w:eastAsiaTheme="minorEastAsia"/>
        </w:rPr>
        <w:t xml:space="preserve"> than</w:t>
      </w:r>
      <w:r w:rsidR="001D47E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sidR="001D47E1">
        <w:rPr>
          <w:rFonts w:eastAsiaTheme="minorEastAsia"/>
        </w:rPr>
        <w:t>, in other words, if the expected rate of non-conforming items is significantly higher than AQL. T</w:t>
      </w:r>
      <w:r>
        <w:rPr>
          <w:rFonts w:eastAsiaTheme="minorEastAsia"/>
        </w:rPr>
        <w:t xml:space="preserve">he lot will be accepted if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Pr>
          <w:rFonts w:eastAsiaTheme="minorEastAsia"/>
        </w:rPr>
        <w:t>.</w:t>
      </w:r>
    </w:p>
    <w:p w:rsidR="005E2544" w:rsidRDefault="00437FA7" w:rsidP="00437FA7">
      <w:pPr>
        <w:rPr>
          <w:rFonts w:eastAsiaTheme="minorEastAsia"/>
        </w:rPr>
      </w:pPr>
      <w:r>
        <w:rPr>
          <w:rFonts w:eastAsiaTheme="minorEastAsia"/>
        </w:rPr>
        <w:t>I</w:t>
      </w:r>
      <w:r w:rsidR="00990D86">
        <w:rPr>
          <w:rFonts w:eastAsiaTheme="minorEastAsia"/>
        </w:rPr>
        <w:t xml:space="preserve">t can be shown easily </w:t>
      </w:r>
      <w:r>
        <w:rPr>
          <w:rFonts w:eastAsiaTheme="minorEastAsia"/>
        </w:rPr>
        <w:t xml:space="preserve">that this decision rule A is equivalent to the ISO </w:t>
      </w:r>
      <w:r w:rsidR="001E39A7">
        <w:rPr>
          <w:rFonts w:eastAsiaTheme="minorEastAsia"/>
        </w:rPr>
        <w:t>3951-1 approach described above</w:t>
      </w:r>
      <w:r w:rsidR="005E2544">
        <w:rPr>
          <w:rFonts w:eastAsiaTheme="minorEastAsia"/>
        </w:rPr>
        <w:t>.</w:t>
      </w:r>
      <w:r w:rsidR="001E39A7">
        <w:rPr>
          <w:rFonts w:eastAsiaTheme="minorEastAsia"/>
        </w:rPr>
        <w:t xml:space="preserve"> </w:t>
      </w:r>
    </w:p>
    <w:p w:rsidR="00437FA7" w:rsidRDefault="005E2544" w:rsidP="00437FA7">
      <w:pPr>
        <w:rPr>
          <w:rFonts w:eastAsiaTheme="minorEastAsia"/>
        </w:rPr>
      </w:pPr>
      <w:r>
        <w:rPr>
          <w:rFonts w:eastAsiaTheme="minorEastAsia"/>
        </w:rPr>
        <w:t>Indeed, t</w:t>
      </w:r>
      <w:r w:rsidR="00437FA7">
        <w:rPr>
          <w:rFonts w:eastAsiaTheme="minorEastAsia"/>
        </w:rPr>
        <w:t xml:space="preserve">he </w:t>
      </w:r>
      <w:r>
        <w:rPr>
          <w:rFonts w:eastAsiaTheme="minorEastAsia"/>
        </w:rPr>
        <w:t>criterion</w:t>
      </w:r>
    </w:p>
    <w:p w:rsidR="00437FA7" w:rsidRDefault="009B2AF7" w:rsidP="00437FA7">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m:oMathPara>
    </w:p>
    <w:p w:rsidR="00437FA7" w:rsidRDefault="00437FA7" w:rsidP="00437FA7">
      <w:pPr>
        <w:rPr>
          <w:rFonts w:eastAsiaTheme="minorEastAsia"/>
        </w:rPr>
      </w:pPr>
      <w:proofErr w:type="gramStart"/>
      <w:r>
        <w:rPr>
          <w:rFonts w:eastAsiaTheme="minorEastAsia"/>
        </w:rPr>
        <w:t>is</w:t>
      </w:r>
      <w:proofErr w:type="gramEnd"/>
      <w:r>
        <w:rPr>
          <w:rFonts w:eastAsiaTheme="minorEastAsia"/>
        </w:rPr>
        <w:t xml:space="preserve"> equivalent </w:t>
      </w:r>
      <w:r w:rsidR="005E2544">
        <w:rPr>
          <w:rFonts w:eastAsiaTheme="minorEastAsia"/>
        </w:rPr>
        <w:t>to</w:t>
      </w:r>
    </w:p>
    <w:p w:rsidR="00437FA7" w:rsidRDefault="009B2AF7" w:rsidP="00437FA7">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hAnsi="Cambria Math"/>
            </w:rPr>
            <m:t>∙σ/</m:t>
          </m:r>
          <m:rad>
            <m:radPr>
              <m:degHide m:val="1"/>
              <m:ctrlPr>
                <w:rPr>
                  <w:rFonts w:ascii="Cambria Math" w:hAnsi="Cambria Math"/>
                  <w:i/>
                </w:rPr>
              </m:ctrlPr>
            </m:radPr>
            <m:deg/>
            <m:e>
              <m:r>
                <w:rPr>
                  <w:rFonts w:ascii="Cambria Math" w:hAnsi="Cambria Math"/>
                </w:rPr>
                <m:t>n</m:t>
              </m:r>
            </m:e>
          </m:rad>
          <m:r>
            <w:rPr>
              <w:rFonts w:ascii="Cambria Math" w:eastAsiaTheme="minorEastAsia" w:hAnsi="Cambria Math"/>
            </w:rPr>
            <m:t>&gt;L-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m:oMathPara>
    </w:p>
    <w:p w:rsidR="00437FA7" w:rsidRDefault="00437FA7" w:rsidP="00437FA7">
      <w:pPr>
        <w:rPr>
          <w:rFonts w:eastAsiaTheme="minorEastAsia"/>
        </w:rPr>
      </w:pPr>
      <w:proofErr w:type="gramStart"/>
      <w:r>
        <w:rPr>
          <w:rFonts w:eastAsiaTheme="minorEastAsia"/>
        </w:rPr>
        <w:t>and</w:t>
      </w:r>
      <w:proofErr w:type="gramEnd"/>
    </w:p>
    <w:p w:rsidR="00437FA7" w:rsidRDefault="009B2AF7" w:rsidP="00437FA7">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-σ∙</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ctrlPr>
                    <w:rPr>
                      <w:rFonts w:ascii="Cambria Math" w:eastAsiaTheme="minorEastAsia" w:hAnsi="Cambria Math"/>
                      <w:i/>
                    </w:rPr>
                  </m:ctrlPr>
                </m:num>
                <m:den>
                  <m:rad>
                    <m:radPr>
                      <m:degHide m:val="1"/>
                      <m:ctrlPr>
                        <w:rPr>
                          <w:rFonts w:ascii="Cambria Math" w:hAnsi="Cambria Math"/>
                          <w:i/>
                        </w:rPr>
                      </m:ctrlPr>
                    </m:radPr>
                    <m:deg/>
                    <m:e>
                      <m:r>
                        <w:rPr>
                          <w:rFonts w:ascii="Cambria Math" w:hAnsi="Cambria Math"/>
                        </w:rPr>
                        <m:t>n</m:t>
                      </m:r>
                    </m:e>
                  </m:rad>
                </m:den>
              </m:f>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e>
          </m:d>
          <m:r>
            <w:rPr>
              <w:rFonts w:ascii="Cambria Math" w:eastAsiaTheme="minorEastAsia" w:hAnsi="Cambria Math"/>
            </w:rPr>
            <m:t>&gt;L.</m:t>
          </m:r>
        </m:oMath>
      </m:oMathPara>
    </w:p>
    <w:p w:rsidR="00437FA7" w:rsidRDefault="00437FA7" w:rsidP="00437FA7">
      <w:pPr>
        <w:rPr>
          <w:rFonts w:eastAsiaTheme="minorEastAsia"/>
        </w:rPr>
      </w:pPr>
      <w:r>
        <w:rPr>
          <w:rFonts w:eastAsiaTheme="minorEastAsia"/>
        </w:rPr>
        <w:t xml:space="preserve">The expression in the brackets equals k, i.e. the decision rule for acceptance is equivalent with </w:t>
      </w:r>
      <m:oMath>
        <m:acc>
          <m:accPr>
            <m:chr m:val="̅"/>
            <m:ctrlPr>
              <w:rPr>
                <w:rFonts w:ascii="Cambria Math" w:hAnsi="Cambria Math"/>
                <w:i/>
              </w:rPr>
            </m:ctrlPr>
          </m:accPr>
          <m:e>
            <m:r>
              <w:rPr>
                <w:rFonts w:ascii="Cambria Math" w:hAnsi="Cambria Math"/>
              </w:rPr>
              <m:t>X</m:t>
            </m:r>
          </m:e>
        </m:acc>
        <m:r>
          <w:rPr>
            <w:rFonts w:ascii="Cambria Math" w:hAnsi="Cambria Math"/>
          </w:rPr>
          <m:t>-σk</m:t>
        </m:r>
        <m:r>
          <w:rPr>
            <w:rFonts w:ascii="Cambria Math" w:eastAsiaTheme="minorEastAsia" w:hAnsi="Cambria Math"/>
          </w:rPr>
          <m:t xml:space="preserve">&gt;L, </m:t>
        </m:r>
      </m:oMath>
      <w:r>
        <w:rPr>
          <w:rFonts w:eastAsiaTheme="minorEastAsia"/>
        </w:rPr>
        <w:t>and this is the approach in ISO 3951-1.</w:t>
      </w:r>
    </w:p>
    <w:p w:rsidR="001E39A7" w:rsidRDefault="001E39A7" w:rsidP="00437FA7">
      <w:pPr>
        <w:rPr>
          <w:rFonts w:eastAsiaTheme="minorEastAsia"/>
        </w:rPr>
      </w:pPr>
    </w:p>
    <w:p w:rsidR="007C35D2" w:rsidRPr="002D7C95" w:rsidRDefault="007C35D2" w:rsidP="007C35D2">
      <w:pPr>
        <w:pStyle w:val="berschrift4"/>
      </w:pPr>
      <w:r>
        <w:t>Another decision rule B for acceptance based on sample uncertainty and consumer’s risk</w:t>
      </w:r>
    </w:p>
    <w:p w:rsidR="007C35D2" w:rsidRDefault="007C35D2" w:rsidP="007C35D2">
      <w:pPr>
        <w:rPr>
          <w:rFonts w:eastAsiaTheme="minorEastAsia"/>
        </w:rPr>
      </w:pPr>
      <w:r>
        <w:rPr>
          <w:rFonts w:eastAsiaTheme="minorEastAsia"/>
        </w:rPr>
        <w:t>Another decision rule B based on consumer’s risk can be defined with the following parameters:</w:t>
      </w:r>
    </w:p>
    <w:p w:rsidR="007C35D2" w:rsidRPr="007C35D2" w:rsidRDefault="007C35D2" w:rsidP="007C35D2">
      <w:pPr>
        <w:pStyle w:val="Listenabsatz"/>
        <w:numPr>
          <w:ilvl w:val="0"/>
          <w:numId w:val="10"/>
        </w:numPr>
        <w:rPr>
          <w:rFonts w:eastAsiaTheme="minorEastAsia"/>
        </w:rPr>
      </w:pPr>
      <w:r w:rsidRPr="007C35D2">
        <w:rPr>
          <w:rFonts w:eastAsiaTheme="minorEastAsia"/>
        </w:rPr>
        <w:t xml:space="preserve">the expanded uncertainty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0.9</m:t>
            </m:r>
          </m:e>
        </m:d>
        <m:r>
          <w:rPr>
            <w:rFonts w:ascii="Cambria Math" w:hAnsi="Cambria Math"/>
          </w:rPr>
          <m:t>∙σ/</m:t>
        </m:r>
        <m:rad>
          <m:radPr>
            <m:degHide m:val="1"/>
            <m:ctrlPr>
              <w:rPr>
                <w:rFonts w:ascii="Cambria Math" w:hAnsi="Cambria Math"/>
                <w:i/>
              </w:rPr>
            </m:ctrlPr>
          </m:radPr>
          <m:deg/>
          <m:e>
            <m:r>
              <w:rPr>
                <w:rFonts w:ascii="Cambria Math" w:hAnsi="Cambria Math"/>
              </w:rPr>
              <m:t>n</m:t>
            </m:r>
          </m:e>
        </m:rad>
      </m:oMath>
      <w:r w:rsidRPr="007C35D2">
        <w:rPr>
          <w:rFonts w:eastAsiaTheme="minorEastAsia"/>
        </w:rPr>
        <w:t xml:space="preserve"> with the 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0.9</m:t>
            </m:r>
          </m:e>
        </m:d>
      </m:oMath>
      <w:r w:rsidRPr="007C35D2">
        <w:rPr>
          <w:rFonts w:eastAsiaTheme="minorEastAsia"/>
        </w:rPr>
        <w:t xml:space="preserve"> based on the </w:t>
      </w:r>
      <w:r w:rsidR="00B87B74">
        <w:rPr>
          <w:rFonts w:eastAsiaTheme="minorEastAsia"/>
        </w:rPr>
        <w:t>consumer</w:t>
      </w:r>
      <w:r w:rsidRPr="007C35D2">
        <w:rPr>
          <w:rFonts w:eastAsiaTheme="minorEastAsia"/>
        </w:rPr>
        <w:t xml:space="preserve">’s risk, </w:t>
      </w:r>
    </w:p>
    <w:p w:rsidR="007C35D2" w:rsidRDefault="007C35D2" w:rsidP="007C35D2">
      <w:pPr>
        <w:pStyle w:val="Listenabsatz"/>
        <w:numPr>
          <w:ilvl w:val="0"/>
          <w:numId w:val="9"/>
        </w:numPr>
        <w:rPr>
          <w:rFonts w:eastAsiaTheme="minorEastAsia"/>
        </w:rPr>
      </w:pPr>
      <w:proofErr w:type="gramStart"/>
      <w:r w:rsidRPr="00B765F6">
        <w:rPr>
          <w:rFonts w:eastAsiaTheme="minorEastAsia"/>
        </w:rPr>
        <w:t>the</w:t>
      </w:r>
      <w:proofErr w:type="gramEnd"/>
      <w:r w:rsidRPr="00B765F6">
        <w:rPr>
          <w:rFonts w:eastAsiaTheme="minorEastAsia"/>
        </w:rPr>
        <w:t xml:space="preserve"> </w:t>
      </w:r>
      <w:r w:rsidR="007B0B4A">
        <w:rPr>
          <w:rFonts w:eastAsiaTheme="minorEastAsia"/>
        </w:rPr>
        <w:t xml:space="preserve">LQ </w:t>
      </w:r>
      <w:r w:rsidRPr="00B765F6">
        <w:rPr>
          <w:rFonts w:eastAsiaTheme="minorEastAsia"/>
        </w:rPr>
        <w:t xml:space="preserve">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oMath>
      <w:r w:rsidRPr="00B765F6">
        <w:rPr>
          <w:rFonts w:eastAsiaTheme="minorEastAsia"/>
        </w:rPr>
        <w:t xml:space="preserve"> </w:t>
      </w:r>
      <w:r>
        <w:rPr>
          <w:rFonts w:eastAsiaTheme="minorEastAsia"/>
        </w:rPr>
        <w:t xml:space="preserve">at which the fraction of nonconforming items equals the limiting quality LQ. </w:t>
      </w:r>
    </w:p>
    <w:p w:rsidR="007C35D2" w:rsidRDefault="007C35D2" w:rsidP="007C35D2">
      <w:pPr>
        <w:rPr>
          <w:rFonts w:eastAsiaTheme="minorEastAsia"/>
        </w:rPr>
      </w:pPr>
      <w:r>
        <w:rPr>
          <w:rFonts w:eastAsiaTheme="minorEastAsia"/>
        </w:rPr>
        <w:t xml:space="preserve">The lot will be </w:t>
      </w:r>
      <w:r w:rsidR="001E39A7">
        <w:rPr>
          <w:rFonts w:eastAsiaTheme="minorEastAsia"/>
        </w:rPr>
        <w:t>accepted</w:t>
      </w:r>
      <w:r>
        <w:rPr>
          <w:rFonts w:eastAsiaTheme="minorEastAsia"/>
        </w:rPr>
        <w:t xml:space="preserve"> if the uncertainty interval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oMath>
      <w:r>
        <w:rPr>
          <w:rFonts w:eastAsiaTheme="minorEastAsia"/>
        </w:rPr>
        <w:t xml:space="preserve"> is completely </w:t>
      </w:r>
      <w:r w:rsidR="007B0B4A">
        <w:rPr>
          <w:rFonts w:eastAsiaTheme="minorEastAsia"/>
        </w:rPr>
        <w:t>above</w:t>
      </w:r>
      <w:r>
        <w:rPr>
          <w:rFonts w:eastAsiaTheme="minorEastAsia"/>
        </w:rPr>
        <w:t xml:space="preserve"> the </w:t>
      </w:r>
      <w:r w:rsidR="007B0B4A">
        <w:rPr>
          <w:rFonts w:eastAsiaTheme="minorEastAsia"/>
        </w:rPr>
        <w:t xml:space="preserve">LQ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 xml:space="preserve"> without overlap, i.e. the lot will be </w:t>
      </w:r>
      <w:r w:rsidR="007B0B4A">
        <w:rPr>
          <w:rFonts w:eastAsiaTheme="minorEastAsia"/>
        </w:rPr>
        <w:t>rejected</w:t>
      </w:r>
      <w:r>
        <w:rPr>
          <w:rFonts w:eastAsiaTheme="minorEastAsia"/>
        </w:rPr>
        <w:t xml:space="preserve"> if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w:t>
      </w:r>
    </w:p>
    <w:p w:rsidR="009F3CAE" w:rsidRDefault="007B0B4A" w:rsidP="004722FD">
      <w:pPr>
        <w:rPr>
          <w:rFonts w:eastAsiaTheme="minorEastAsia"/>
        </w:rPr>
      </w:pPr>
      <w:r>
        <w:rPr>
          <w:rFonts w:eastAsiaTheme="minorEastAsia"/>
        </w:rPr>
        <w:t>LQ is defined in such a way that decision rule B is equivalent with decision rule A.</w:t>
      </w:r>
    </w:p>
    <w:p w:rsidR="0088441A" w:rsidRDefault="0088441A" w:rsidP="004722FD">
      <w:pPr>
        <w:rPr>
          <w:rFonts w:eastAsiaTheme="minorEastAsia"/>
        </w:rPr>
      </w:pPr>
    </w:p>
    <w:p w:rsidR="00844A35" w:rsidRDefault="00844A35" w:rsidP="0088441A">
      <w:pPr>
        <w:pStyle w:val="berschrift4"/>
      </w:pPr>
      <w:r>
        <w:t>Example</w:t>
      </w:r>
    </w:p>
    <w:p w:rsidR="00C07FEC" w:rsidRDefault="00844A35" w:rsidP="00844A35">
      <w:pPr>
        <w:rPr>
          <w:rFonts w:eastAsiaTheme="minorEastAsia"/>
        </w:rPr>
      </w:pPr>
      <w:r>
        <w:t xml:space="preserve">Consider the sampling scheme described in </w:t>
      </w:r>
      <w:r w:rsidR="00C07FEC">
        <w:rPr>
          <w:rFonts w:eastAsiaTheme="minorEastAsia"/>
        </w:rPr>
        <w:t xml:space="preserve">Table C.1 </w:t>
      </w:r>
      <w:r w:rsidR="00307F10">
        <w:rPr>
          <w:rFonts w:eastAsiaTheme="minorEastAsia"/>
        </w:rPr>
        <w:t xml:space="preserve">(ISO 3951-1) </w:t>
      </w:r>
      <w:r w:rsidR="00C07FEC">
        <w:rPr>
          <w:rFonts w:eastAsiaTheme="minorEastAsia"/>
        </w:rPr>
        <w:t>for c</w:t>
      </w:r>
      <w:r>
        <w:rPr>
          <w:rFonts w:eastAsiaTheme="minorEastAsia"/>
        </w:rPr>
        <w:t>od</w:t>
      </w:r>
      <w:r w:rsidR="008D5E48">
        <w:rPr>
          <w:rFonts w:eastAsiaTheme="minorEastAsia"/>
        </w:rPr>
        <w:t xml:space="preserve">e letter H with n=12 </w:t>
      </w:r>
      <w:r w:rsidR="00C07FEC">
        <w:rPr>
          <w:rFonts w:eastAsiaTheme="minorEastAsia"/>
        </w:rPr>
        <w:t>samples</w:t>
      </w:r>
      <w:r w:rsidR="0072466D">
        <w:rPr>
          <w:rFonts w:eastAsiaTheme="minorEastAsia"/>
        </w:rPr>
        <w:t xml:space="preserve">. Let </w:t>
      </w:r>
      <w:r w:rsidR="008D5E48">
        <w:rPr>
          <w:rFonts w:eastAsiaTheme="minorEastAsia"/>
        </w:rPr>
        <w:t>AQL</w:t>
      </w:r>
      <w:r w:rsidR="00307F10">
        <w:rPr>
          <w:rFonts w:eastAsiaTheme="minorEastAsia"/>
        </w:rPr>
        <w:t xml:space="preserve"> </w:t>
      </w:r>
      <w:r w:rsidR="008D5E48">
        <w:rPr>
          <w:rFonts w:eastAsiaTheme="minorEastAsia"/>
        </w:rPr>
        <w:t>=</w:t>
      </w:r>
      <w:r w:rsidR="00307F10">
        <w:rPr>
          <w:rFonts w:eastAsiaTheme="minorEastAsia"/>
        </w:rPr>
        <w:t xml:space="preserve"> </w:t>
      </w:r>
      <w:r w:rsidR="008D5E48">
        <w:rPr>
          <w:rFonts w:eastAsiaTheme="minorEastAsia"/>
        </w:rPr>
        <w:t>1%</w:t>
      </w:r>
      <w:r w:rsidR="0072466D">
        <w:rPr>
          <w:rFonts w:eastAsiaTheme="minorEastAsia"/>
        </w:rPr>
        <w:t xml:space="preserve"> the acceptance quality limit, </w:t>
      </w:r>
      <m:oMath>
        <m:r>
          <w:rPr>
            <w:rFonts w:ascii="Cambria Math" w:eastAsiaTheme="minorEastAsia" w:hAnsi="Cambria Math"/>
          </w:rPr>
          <m:t>σ=2</m:t>
        </m:r>
      </m:oMath>
      <w:r w:rsidR="0072466D">
        <w:rPr>
          <w:rFonts w:eastAsiaTheme="minorEastAsia"/>
        </w:rPr>
        <w:t xml:space="preserve"> the standard deviation</w:t>
      </w:r>
      <w:r w:rsidR="008D5E48">
        <w:rPr>
          <w:rFonts w:eastAsiaTheme="minorEastAsia"/>
        </w:rPr>
        <w:t xml:space="preserve">, and </w:t>
      </w:r>
      <w:r w:rsidR="0072466D">
        <w:rPr>
          <w:rFonts w:eastAsiaTheme="minorEastAsia"/>
        </w:rPr>
        <w:t>L</w:t>
      </w:r>
      <w:r w:rsidR="00307F10">
        <w:rPr>
          <w:rFonts w:eastAsiaTheme="minorEastAsia"/>
        </w:rPr>
        <w:t xml:space="preserve"> </w:t>
      </w:r>
      <w:r w:rsidR="0072466D">
        <w:rPr>
          <w:rFonts w:eastAsiaTheme="minorEastAsia"/>
        </w:rPr>
        <w:t>=</w:t>
      </w:r>
      <w:r w:rsidR="00307F10">
        <w:rPr>
          <w:rFonts w:eastAsiaTheme="minorEastAsia"/>
        </w:rPr>
        <w:t xml:space="preserve"> </w:t>
      </w:r>
      <w:r w:rsidR="0072466D">
        <w:rPr>
          <w:rFonts w:eastAsiaTheme="minorEastAsia"/>
        </w:rPr>
        <w:t xml:space="preserve">20 </w:t>
      </w:r>
      <w:r w:rsidR="008D5E48">
        <w:rPr>
          <w:rFonts w:eastAsiaTheme="minorEastAsia"/>
        </w:rPr>
        <w:t xml:space="preserve">the lower </w:t>
      </w:r>
      <w:r w:rsidR="008D5E48">
        <w:rPr>
          <w:rFonts w:eastAsiaTheme="minorEastAsia"/>
        </w:rPr>
        <w:lastRenderedPageBreak/>
        <w:t>specification limit.</w:t>
      </w:r>
      <w:r>
        <w:rPr>
          <w:rFonts w:eastAsiaTheme="minorEastAsia"/>
        </w:rPr>
        <w:t xml:space="preserve"> Then k</w:t>
      </w:r>
      <w:r w:rsidR="00307F10">
        <w:rPr>
          <w:rFonts w:eastAsiaTheme="minorEastAsia"/>
        </w:rPr>
        <w:t xml:space="preserve"> </w:t>
      </w:r>
      <w:r>
        <w:rPr>
          <w:rFonts w:eastAsiaTheme="minorEastAsia"/>
        </w:rPr>
        <w:t>=</w:t>
      </w:r>
      <w:r w:rsidR="00307F10">
        <w:rPr>
          <w:rFonts w:eastAsiaTheme="minorEastAsia"/>
        </w:rPr>
        <w:t xml:space="preserve"> </w:t>
      </w:r>
      <w:r>
        <w:rPr>
          <w:rFonts w:eastAsiaTheme="minorEastAsia"/>
        </w:rPr>
        <w:t xml:space="preserve">1.800 </w:t>
      </w:r>
      <w:r w:rsidR="00307F10">
        <w:rPr>
          <w:rFonts w:eastAsiaTheme="minorEastAsia"/>
        </w:rPr>
        <w:t xml:space="preserve">according to Table C.1 </w:t>
      </w:r>
      <w:r>
        <w:rPr>
          <w:rFonts w:eastAsiaTheme="minorEastAsia"/>
        </w:rPr>
        <w:t>and LQ</w:t>
      </w:r>
      <w:r w:rsidR="007864E2">
        <w:rPr>
          <w:rFonts w:eastAsiaTheme="minorEastAsia"/>
        </w:rPr>
        <w:t xml:space="preserve"> </w:t>
      </w:r>
      <w:r>
        <w:rPr>
          <w:rFonts w:eastAsiaTheme="minorEastAsia"/>
        </w:rPr>
        <w:t>=</w:t>
      </w:r>
      <w:r w:rsidR="007864E2">
        <w:rPr>
          <w:rFonts w:eastAsiaTheme="minorEastAsia"/>
        </w:rPr>
        <w:t xml:space="preserve"> </w:t>
      </w:r>
      <w:r>
        <w:rPr>
          <w:rFonts w:eastAsiaTheme="minorEastAsia"/>
        </w:rPr>
        <w:t>7.64% according to Table K.2 (ISO 3951-1).</w:t>
      </w:r>
      <w:r w:rsidR="008D5E48">
        <w:rPr>
          <w:rFonts w:eastAsiaTheme="minorEastAsia"/>
        </w:rPr>
        <w:t xml:space="preserve"> </w:t>
      </w:r>
    </w:p>
    <w:p w:rsidR="001B48DB" w:rsidRDefault="001B48DB" w:rsidP="00844A35">
      <w:pPr>
        <w:rPr>
          <w:rFonts w:eastAsiaTheme="minorEastAsia"/>
        </w:rPr>
      </w:pPr>
      <w:r>
        <w:rPr>
          <w:rFonts w:eastAsiaTheme="minorEastAsia"/>
        </w:rPr>
        <w:t xml:space="preserve">With these parameters the AQL </w:t>
      </w:r>
      <w:r w:rsidRPr="00B765F6">
        <w:rPr>
          <w:rFonts w:eastAsiaTheme="minorEastAsia"/>
        </w:rPr>
        <w:t xml:space="preserve">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 xml:space="preserve"> </m:t>
        </m:r>
      </m:oMath>
      <w:r>
        <w:rPr>
          <w:rFonts w:eastAsiaTheme="minorEastAsia"/>
        </w:rPr>
        <w:t xml:space="preserve">and the LQ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 xml:space="preserve"> can be calculated as follows:</w:t>
      </w:r>
    </w:p>
    <w:tbl>
      <w:tblPr>
        <w:tblStyle w:val="Tabellenraster"/>
        <w:tblW w:w="0" w:type="auto"/>
        <w:tblInd w:w="108" w:type="dxa"/>
        <w:tblLook w:val="04A0" w:firstRow="1" w:lastRow="0" w:firstColumn="1" w:lastColumn="0" w:noHBand="0" w:noVBand="1"/>
      </w:tblPr>
      <w:tblGrid>
        <w:gridCol w:w="4665"/>
        <w:gridCol w:w="4576"/>
      </w:tblGrid>
      <w:tr w:rsidR="00BB4F89" w:rsidRPr="00444F62" w:rsidTr="00BB4F89">
        <w:tc>
          <w:tcPr>
            <w:tcW w:w="4665" w:type="dxa"/>
          </w:tcPr>
          <w:p w:rsidR="00BB4F89" w:rsidRPr="00444F62" w:rsidRDefault="00BB4F89" w:rsidP="00AB7837">
            <w:pPr>
              <w:jc w:val="center"/>
              <w:rPr>
                <w:rFonts w:eastAsiaTheme="minorEastAsia"/>
                <w:b/>
              </w:rPr>
            </w:pPr>
            <w:r w:rsidRPr="00444F62">
              <w:rPr>
                <w:rFonts w:eastAsiaTheme="minorEastAsia"/>
                <w:b/>
              </w:rPr>
              <w:t>Decision rule A</w:t>
            </w:r>
            <w:r>
              <w:rPr>
                <w:rFonts w:eastAsiaTheme="minorEastAsia"/>
                <w:b/>
              </w:rPr>
              <w:t>: based on producer’s risk</w:t>
            </w:r>
          </w:p>
        </w:tc>
        <w:tc>
          <w:tcPr>
            <w:tcW w:w="4576" w:type="dxa"/>
          </w:tcPr>
          <w:p w:rsidR="00BB4F89" w:rsidRPr="00444F62" w:rsidRDefault="00BB4F89" w:rsidP="00AB7837">
            <w:pPr>
              <w:jc w:val="center"/>
              <w:rPr>
                <w:rFonts w:eastAsiaTheme="minorEastAsia"/>
                <w:b/>
              </w:rPr>
            </w:pPr>
            <w:r w:rsidRPr="00444F62">
              <w:rPr>
                <w:rFonts w:eastAsiaTheme="minorEastAsia"/>
                <w:b/>
              </w:rPr>
              <w:t>Decision rule B</w:t>
            </w:r>
            <w:r>
              <w:rPr>
                <w:rFonts w:eastAsiaTheme="minorEastAsia"/>
                <w:b/>
              </w:rPr>
              <w:t>: based on consumer’s risk</w:t>
            </w:r>
          </w:p>
        </w:tc>
      </w:tr>
      <w:tr w:rsidR="00BB4F89" w:rsidTr="00BB4F89">
        <w:tc>
          <w:tcPr>
            <w:tcW w:w="4665" w:type="dxa"/>
          </w:tcPr>
          <w:p w:rsidR="00BB4F89" w:rsidRDefault="00BB4F89" w:rsidP="00AB7837">
            <w:pPr>
              <w:jc w:val="center"/>
              <w:rPr>
                <w:rFonts w:eastAsiaTheme="minorEastAsia"/>
              </w:rPr>
            </w:pPr>
            <w:r>
              <w:rPr>
                <w:rFonts w:eastAsiaTheme="minorEastAsia"/>
              </w:rPr>
              <w:t xml:space="preserve">AQL=1%, </w:t>
            </w:r>
            <m:oMath>
              <m:r>
                <w:rPr>
                  <w:rFonts w:ascii="Cambria Math" w:eastAsiaTheme="minorEastAsia" w:hAnsi="Cambria Math"/>
                </w:rPr>
                <m:t>σ=2</m:t>
              </m:r>
            </m:oMath>
            <w:r>
              <w:rPr>
                <w:rFonts w:eastAsiaTheme="minorEastAsia"/>
              </w:rPr>
              <w:t>, L = 20</w:t>
            </w:r>
          </w:p>
        </w:tc>
        <w:tc>
          <w:tcPr>
            <w:tcW w:w="4576" w:type="dxa"/>
          </w:tcPr>
          <w:p w:rsidR="00BB4F89" w:rsidRDefault="00BB4F89" w:rsidP="00AB7837">
            <w:pPr>
              <w:jc w:val="center"/>
              <w:rPr>
                <w:rFonts w:eastAsiaTheme="minorEastAsia"/>
              </w:rPr>
            </w:pPr>
            <w:r>
              <w:rPr>
                <w:rFonts w:eastAsiaTheme="minorEastAsia"/>
              </w:rPr>
              <w:t xml:space="preserve">LQ=7.64%, </w:t>
            </w:r>
            <m:oMath>
              <m:r>
                <w:rPr>
                  <w:rFonts w:ascii="Cambria Math" w:eastAsiaTheme="minorEastAsia" w:hAnsi="Cambria Math"/>
                </w:rPr>
                <m:t>σ=2</m:t>
              </m:r>
            </m:oMath>
            <w:r>
              <w:rPr>
                <w:rFonts w:eastAsiaTheme="minorEastAsia"/>
              </w:rPr>
              <w:t>, L = 20</w:t>
            </w:r>
          </w:p>
        </w:tc>
      </w:tr>
      <w:tr w:rsidR="00BB4F89" w:rsidTr="00BB4F89">
        <w:tc>
          <w:tcPr>
            <w:tcW w:w="4665" w:type="dxa"/>
          </w:tcPr>
          <w:p w:rsidR="00BB4F89" w:rsidRDefault="009B2AF7" w:rsidP="00AB7837">
            <w:pPr>
              <w:rPr>
                <w:rFonts w:eastAsiaTheme="minorEastAsia"/>
              </w:rPr>
            </w:pPr>
            <m:oMathPara>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r>
                  <w:rPr>
                    <w:rFonts w:ascii="Cambria Math" w:eastAsiaTheme="minorEastAsia" w:hAnsi="Cambria Math"/>
                  </w:rPr>
                  <m:t>=-2.326</m:t>
                </m:r>
              </m:oMath>
            </m:oMathPara>
          </w:p>
        </w:tc>
        <w:tc>
          <w:tcPr>
            <w:tcW w:w="4576" w:type="dxa"/>
          </w:tcPr>
          <w:p w:rsidR="00BB4F89" w:rsidRDefault="009B2AF7" w:rsidP="00AB7837">
            <w:pPr>
              <w:rPr>
                <w:rFonts w:eastAsiaTheme="minorEastAsia"/>
              </w:rPr>
            </w:pPr>
            <m:oMathPara>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r>
                  <w:rPr>
                    <w:rFonts w:ascii="Cambria Math" w:eastAsiaTheme="minorEastAsia" w:hAnsi="Cambria Math"/>
                  </w:rPr>
                  <m:t>=-1.430</m:t>
                </m:r>
              </m:oMath>
            </m:oMathPara>
          </w:p>
        </w:tc>
      </w:tr>
      <w:tr w:rsidR="00BB4F89" w:rsidTr="00BB4F89">
        <w:tc>
          <w:tcPr>
            <w:tcW w:w="4665" w:type="dxa"/>
          </w:tcPr>
          <w:p w:rsidR="00BB4F89" w:rsidRDefault="009B2AF7" w:rsidP="00AB78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m:oMathPara>
          </w:p>
        </w:tc>
        <w:tc>
          <w:tcPr>
            <w:tcW w:w="4576" w:type="dxa"/>
          </w:tcPr>
          <w:p w:rsidR="00BB4F89" w:rsidRDefault="009B2AF7" w:rsidP="00AB78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oMath>
            </m:oMathPara>
          </w:p>
        </w:tc>
      </w:tr>
      <w:tr w:rsidR="00BB4F89" w:rsidRPr="00444F62" w:rsidTr="00BB4F89">
        <w:tc>
          <w:tcPr>
            <w:tcW w:w="4665" w:type="dxa"/>
          </w:tcPr>
          <w:p w:rsidR="00EF1D98" w:rsidRPr="00444F62" w:rsidRDefault="009B2AF7" w:rsidP="00EF1D98">
            <w:pPr>
              <w:jc w:val="center"/>
              <w:rPr>
                <w:rFonts w:eastAsiaTheme="minorEastAsia"/>
                <w:b/>
              </w:rPr>
            </w:pPr>
            <m:oMath>
              <m:sSub>
                <m:sSubPr>
                  <m:ctrlPr>
                    <w:rPr>
                      <w:rFonts w:ascii="Cambria Math" w:eastAsiaTheme="minorEastAsia" w:hAnsi="Cambria Math"/>
                      <w:b/>
                      <w:i/>
                    </w:rPr>
                  </m:ctrlPr>
                </m:sSubPr>
                <m:e>
                  <m:r>
                    <m:rPr>
                      <m:sty m:val="bi"/>
                    </m:rPr>
                    <w:rPr>
                      <w:rFonts w:ascii="Cambria Math" w:eastAsiaTheme="minorEastAsia" w:hAnsi="Cambria Math"/>
                    </w:rPr>
                    <m:t>μ</m:t>
                  </m:r>
                </m:e>
                <m:sub>
                  <m:r>
                    <m:rPr>
                      <m:sty m:val="bi"/>
                    </m:rPr>
                    <w:rPr>
                      <w:rFonts w:ascii="Cambria Math" w:eastAsiaTheme="minorEastAsia" w:hAnsi="Cambria Math"/>
                    </w:rPr>
                    <m:t>AQL</m:t>
                  </m:r>
                </m:sub>
              </m:sSub>
              <m:r>
                <m:rPr>
                  <m:sty m:val="bi"/>
                </m:rPr>
                <w:rPr>
                  <w:rFonts w:ascii="Cambria Math" w:eastAsiaTheme="minorEastAsia" w:hAnsi="Cambria Math"/>
                </w:rPr>
                <m:t>=</m:t>
              </m:r>
              <m:r>
                <m:rPr>
                  <m:sty m:val="b"/>
                </m:rPr>
                <w:rPr>
                  <w:rFonts w:ascii="Cambria Math" w:eastAsiaTheme="minorEastAsia" w:hAnsi="Cambria Math"/>
                </w:rPr>
                <m:t>24.65</m:t>
              </m:r>
            </m:oMath>
            <w:r w:rsidR="00EF1D98">
              <w:rPr>
                <w:rFonts w:eastAsiaTheme="minorEastAsia"/>
                <w:b/>
              </w:rPr>
              <w:t xml:space="preserve"> (red line)</w:t>
            </w:r>
          </w:p>
        </w:tc>
        <w:tc>
          <w:tcPr>
            <w:tcW w:w="4576" w:type="dxa"/>
          </w:tcPr>
          <w:p w:rsidR="00BB4F89" w:rsidRPr="00444F62" w:rsidRDefault="009B2AF7" w:rsidP="00EF1D98">
            <w:pPr>
              <w:jc w:val="center"/>
              <w:rPr>
                <w:rFonts w:eastAsiaTheme="minorEastAsia"/>
                <w:b/>
              </w:rPr>
            </w:pPr>
            <m:oMath>
              <m:sSub>
                <m:sSubPr>
                  <m:ctrlPr>
                    <w:rPr>
                      <w:rFonts w:ascii="Cambria Math" w:eastAsiaTheme="minorEastAsia" w:hAnsi="Cambria Math"/>
                      <w:b/>
                      <w:i/>
                    </w:rPr>
                  </m:ctrlPr>
                </m:sSubPr>
                <m:e>
                  <m:r>
                    <m:rPr>
                      <m:sty m:val="bi"/>
                    </m:rPr>
                    <w:rPr>
                      <w:rFonts w:ascii="Cambria Math" w:eastAsiaTheme="minorEastAsia" w:hAnsi="Cambria Math"/>
                    </w:rPr>
                    <m:t>μ</m:t>
                  </m:r>
                </m:e>
                <m:sub>
                  <m:r>
                    <m:rPr>
                      <m:sty m:val="bi"/>
                    </m:rPr>
                    <w:rPr>
                      <w:rFonts w:ascii="Cambria Math" w:eastAsiaTheme="minorEastAsia" w:hAnsi="Cambria Math"/>
                    </w:rPr>
                    <m:t>LQ</m:t>
                  </m:r>
                </m:sub>
              </m:sSub>
              <m:r>
                <m:rPr>
                  <m:sty m:val="bi"/>
                </m:rPr>
                <w:rPr>
                  <w:rFonts w:ascii="Cambria Math" w:eastAsiaTheme="minorEastAsia" w:hAnsi="Cambria Math"/>
                </w:rPr>
                <m:t>=</m:t>
              </m:r>
              <m:r>
                <m:rPr>
                  <m:sty m:val="b"/>
                </m:rPr>
                <w:rPr>
                  <w:rFonts w:ascii="Cambria Math" w:eastAsiaTheme="minorEastAsia" w:hAnsi="Cambria Math"/>
                </w:rPr>
                <m:t>22.86</m:t>
              </m:r>
            </m:oMath>
            <w:r w:rsidR="00EF1D98">
              <w:rPr>
                <w:rFonts w:eastAsiaTheme="minorEastAsia"/>
                <w:b/>
              </w:rPr>
              <w:t xml:space="preserve"> (red line)</w:t>
            </w:r>
          </w:p>
        </w:tc>
      </w:tr>
      <w:tr w:rsidR="00CF5F20" w:rsidTr="00BB4F89">
        <w:tc>
          <w:tcPr>
            <w:tcW w:w="4665" w:type="dxa"/>
          </w:tcPr>
          <w:p w:rsidR="00CF5F20" w:rsidRPr="00444F62" w:rsidRDefault="00EA5991" w:rsidP="001B48DB">
            <w:pPr>
              <w:rPr>
                <w:rFonts w:ascii="Calibri" w:eastAsia="Calibri" w:hAnsi="Calibri" w:cs="Times New Roman"/>
                <w:b/>
              </w:rPr>
            </w:pPr>
            <w:r>
              <w:rPr>
                <w:rFonts w:ascii="Calibri" w:eastAsia="Calibri" w:hAnsi="Calibri" w:cs="Times New Roman"/>
                <w:b/>
                <w:noProof/>
                <w:lang w:val="de-DE" w:eastAsia="de-DE"/>
              </w:rPr>
              <w:drawing>
                <wp:inline distT="0" distB="0" distL="0" distR="0" wp14:anchorId="0881869A" wp14:editId="6C158946">
                  <wp:extent cx="2758440" cy="1653540"/>
                  <wp:effectExtent l="0" t="0" r="1016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8440" cy="1653540"/>
                          </a:xfrm>
                          <a:prstGeom prst="rect">
                            <a:avLst/>
                          </a:prstGeom>
                          <a:noFill/>
                          <a:ln>
                            <a:noFill/>
                          </a:ln>
                        </pic:spPr>
                      </pic:pic>
                    </a:graphicData>
                  </a:graphic>
                </wp:inline>
              </w:drawing>
            </w:r>
            <w:r>
              <w:rPr>
                <w:rFonts w:ascii="Calibri" w:eastAsia="Calibri" w:hAnsi="Calibri" w:cs="Times New Roman"/>
                <w:b/>
                <w:noProof/>
                <w:lang w:val="de-DE" w:eastAsia="de-DE"/>
              </w:rPr>
              <mc:AlternateContent>
                <mc:Choice Requires="wps">
                  <w:drawing>
                    <wp:anchor distT="0" distB="0" distL="114300" distR="114300" simplePos="0" relativeHeight="251668480" behindDoc="0" locked="0" layoutInCell="1" allowOverlap="1" wp14:anchorId="5D6AB411" wp14:editId="11403FA3">
                      <wp:simplePos x="0" y="0"/>
                      <wp:positionH relativeFrom="column">
                        <wp:posOffset>731520</wp:posOffset>
                      </wp:positionH>
                      <wp:positionV relativeFrom="paragraph">
                        <wp:posOffset>1130300</wp:posOffset>
                      </wp:positionV>
                      <wp:extent cx="0" cy="228600"/>
                      <wp:effectExtent l="127000" t="25400" r="101600" b="101600"/>
                      <wp:wrapNone/>
                      <wp:docPr id="7" name="Gerade Verbindung mit Pfeil 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3719CE" id="_x0000_t32" coordsize="21600,21600" o:spt="32" o:oned="t" path="m,l21600,21600e" filled="f">
                      <v:path arrowok="t" fillok="f" o:connecttype="none"/>
                      <o:lock v:ext="edit" shapetype="t"/>
                    </v:shapetype>
                    <v:shape id="Gerade Verbindung mit Pfeil 7" o:spid="_x0000_s1026" type="#_x0000_t32" style="position:absolute;margin-left:57.6pt;margin-top:89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" strokecolor="black [3213]" strokeweight="2pt">
                      <v:stroke endarrow="open"/>
                      <v:shadow on="t" color="black" opacity="24903f" origin=",.5" offset="0,.55556mm"/>
                    </v:shape>
                  </w:pict>
                </mc:Fallback>
              </mc:AlternateContent>
            </w:r>
            <w:r w:rsidR="00EF1D98">
              <w:rPr>
                <w:rFonts w:ascii="Calibri" w:eastAsia="Calibri" w:hAnsi="Calibri" w:cs="Times New Roman"/>
                <w:b/>
                <w:noProof/>
                <w:lang w:val="de-DE" w:eastAsia="de-DE"/>
              </w:rPr>
              <mc:AlternateContent>
                <mc:Choice Requires="wps">
                  <w:drawing>
                    <wp:anchor distT="0" distB="0" distL="114300" distR="114300" simplePos="0" relativeHeight="251659264" behindDoc="0" locked="0" layoutInCell="1" allowOverlap="1" wp14:anchorId="7AD5711A" wp14:editId="25FBBB8A">
                      <wp:simplePos x="0" y="0"/>
                      <wp:positionH relativeFrom="column">
                        <wp:posOffset>502920</wp:posOffset>
                      </wp:positionH>
                      <wp:positionV relativeFrom="paragraph">
                        <wp:posOffset>901700</wp:posOffset>
                      </wp:positionV>
                      <wp:extent cx="457200" cy="2286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F1D98" w:rsidRDefault="00EF1D98">
                                  <w:r>
                                    <w:t>AQL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711A" id="_x0000_t202" coordsize="21600,21600" o:spt="202" path="m,l,21600r21600,l21600,xe">
                      <v:stroke joinstyle="miter"/>
                      <v:path gradientshapeok="t" o:connecttype="rect"/>
                    </v:shapetype>
                    <v:shape id="Textfeld 2" o:spid="_x0000_s1026" type="#_x0000_t202" style="position:absolute;margin-left:39.6pt;margin-top:71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" filled="f" stroked="f">
                      <v:textbox>
                        <w:txbxContent>
                          <w:p w:rsidR="00EF1D98" w:rsidRDefault="00EF1D98">
                            <w:r>
                              <w:t>AQL</w:t>
                            </w:r>
                          </w:p>
                        </w:txbxContent>
                      </v:textbox>
                      <w10:wrap type="square"/>
                    </v:shape>
                  </w:pict>
                </mc:Fallback>
              </mc:AlternateContent>
            </w:r>
          </w:p>
        </w:tc>
        <w:tc>
          <w:tcPr>
            <w:tcW w:w="4576" w:type="dxa"/>
          </w:tcPr>
          <w:p w:rsidR="00CF5F20" w:rsidRPr="00444F62" w:rsidRDefault="00EA5991" w:rsidP="001702E9">
            <w:pPr>
              <w:rPr>
                <w:rFonts w:ascii="Calibri" w:eastAsia="MS Mincho" w:hAnsi="Calibri" w:cs="Times New Roman"/>
                <w:b/>
              </w:rPr>
            </w:pPr>
            <w:r>
              <w:rPr>
                <w:rFonts w:ascii="Calibri" w:eastAsia="Calibri" w:hAnsi="Calibri" w:cs="Times New Roman"/>
                <w:b/>
                <w:noProof/>
                <w:lang w:val="de-DE" w:eastAsia="de-DE"/>
              </w:rPr>
              <mc:AlternateContent>
                <mc:Choice Requires="wps">
                  <w:drawing>
                    <wp:anchor distT="0" distB="0" distL="114300" distR="114300" simplePos="0" relativeHeight="251667456" behindDoc="0" locked="0" layoutInCell="1" allowOverlap="1" wp14:anchorId="0ED19117" wp14:editId="68D617C5">
                      <wp:simplePos x="0" y="0"/>
                      <wp:positionH relativeFrom="column">
                        <wp:posOffset>741045</wp:posOffset>
                      </wp:positionH>
                      <wp:positionV relativeFrom="paragraph">
                        <wp:posOffset>1130300</wp:posOffset>
                      </wp:positionV>
                      <wp:extent cx="0" cy="228600"/>
                      <wp:effectExtent l="127000" t="25400" r="101600" b="101600"/>
                      <wp:wrapNone/>
                      <wp:docPr id="5" name="Gerade Verbindung mit Pfeil 5"/>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C4916" id="Gerade Verbindung mit Pfeil 5" o:spid="_x0000_s1026" type="#_x0000_t32" style="position:absolute;margin-left:58.35pt;margin-top:89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" strokecolor="black [3213]" strokeweight="2pt">
                      <v:stroke endarrow="open"/>
                      <v:shadow on="t" color="black" opacity="24903f" origin=",.5" offset="0,.55556mm"/>
                    </v:shape>
                  </w:pict>
                </mc:Fallback>
              </mc:AlternateContent>
            </w:r>
            <w:r w:rsidR="00EF1D98">
              <w:rPr>
                <w:rFonts w:ascii="Calibri" w:eastAsia="MS Mincho" w:hAnsi="Calibri" w:cs="Times New Roman"/>
                <w:b/>
                <w:noProof/>
                <w:lang w:val="de-DE" w:eastAsia="de-DE"/>
              </w:rPr>
              <mc:AlternateContent>
                <mc:Choice Requires="wps">
                  <w:drawing>
                    <wp:anchor distT="0" distB="0" distL="114300" distR="114300" simplePos="0" relativeHeight="251660288" behindDoc="0" locked="0" layoutInCell="1" allowOverlap="1" wp14:anchorId="5E7CC5F3" wp14:editId="0D91D004">
                      <wp:simplePos x="0" y="0"/>
                      <wp:positionH relativeFrom="column">
                        <wp:posOffset>512445</wp:posOffset>
                      </wp:positionH>
                      <wp:positionV relativeFrom="paragraph">
                        <wp:posOffset>901700</wp:posOffset>
                      </wp:positionV>
                      <wp:extent cx="342900" cy="2286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F1D98" w:rsidRDefault="00EF1D98">
                                  <w:r>
                                    <w:t>LQ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C5F3" id="Textfeld 4" o:spid="_x0000_s1027" type="#_x0000_t202" style="position:absolute;margin-left:40.35pt;margin-top:71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" filled="f" stroked="f">
                      <v:textbox>
                        <w:txbxContent>
                          <w:p w:rsidR="00EF1D98" w:rsidRDefault="00EF1D98">
                            <w:r>
                              <w:t>LQ</w:t>
                            </w:r>
                          </w:p>
                        </w:txbxContent>
                      </v:textbox>
                      <w10:wrap type="square"/>
                    </v:shape>
                  </w:pict>
                </mc:Fallback>
              </mc:AlternateContent>
            </w:r>
            <w:r w:rsidR="00DB7A9E">
              <w:rPr>
                <w:rFonts w:ascii="Calibri" w:eastAsia="MS Mincho" w:hAnsi="Calibri" w:cs="Times New Roman"/>
                <w:b/>
                <w:noProof/>
                <w:lang w:val="de-DE" w:eastAsia="de-DE"/>
              </w:rPr>
              <w:drawing>
                <wp:inline distT="0" distB="0" distL="0" distR="0" wp14:anchorId="7FEF06E7" wp14:editId="51FAC4E3">
                  <wp:extent cx="2758440" cy="1653540"/>
                  <wp:effectExtent l="0" t="0" r="1016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1653540"/>
                          </a:xfrm>
                          <a:prstGeom prst="rect">
                            <a:avLst/>
                          </a:prstGeom>
                          <a:noFill/>
                          <a:ln>
                            <a:noFill/>
                          </a:ln>
                        </pic:spPr>
                      </pic:pic>
                    </a:graphicData>
                  </a:graphic>
                </wp:inline>
              </w:drawing>
            </w:r>
          </w:p>
        </w:tc>
      </w:tr>
    </w:tbl>
    <w:p w:rsidR="001B48DB" w:rsidRDefault="001B48DB" w:rsidP="00844A35">
      <w:pPr>
        <w:rPr>
          <w:rFonts w:eastAsiaTheme="minorEastAsia"/>
        </w:rPr>
      </w:pPr>
    </w:p>
    <w:p w:rsidR="00844A35" w:rsidRDefault="00C07FEC" w:rsidP="00F0205F">
      <w:pPr>
        <w:rPr>
          <w:rFonts w:eastAsiaTheme="minorEastAsia"/>
        </w:rPr>
      </w:pPr>
      <w:r>
        <w:rPr>
          <w:rFonts w:eastAsiaTheme="minorEastAsia"/>
        </w:rPr>
        <w:t xml:space="preserve">In order to illustrate the decision rules, we assume the sample average over the 12 samples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=23.8</m:t>
        </m:r>
      </m:oMath>
      <w:r>
        <w:rPr>
          <w:rFonts w:eastAsiaTheme="minorEastAsia"/>
        </w:rPr>
        <w:t xml:space="preserve">. </w:t>
      </w:r>
    </w:p>
    <w:p w:rsidR="00F0205F" w:rsidRDefault="00F0205F">
      <w:pPr>
        <w:rPr>
          <w:rFonts w:eastAsiaTheme="minorEastAsia"/>
        </w:rPr>
      </w:pPr>
      <w:r>
        <w:rPr>
          <w:rFonts w:eastAsiaTheme="minorEastAsia"/>
        </w:rPr>
        <w:br w:type="page"/>
      </w:r>
    </w:p>
    <w:p w:rsidR="00B34F1D" w:rsidRDefault="0088441A" w:rsidP="00844A35">
      <w:pPr>
        <w:rPr>
          <w:rFonts w:eastAsiaTheme="minorEastAsia"/>
        </w:rPr>
      </w:pPr>
      <w:r>
        <w:rPr>
          <w:rFonts w:eastAsiaTheme="minorEastAsia"/>
        </w:rPr>
        <w:lastRenderedPageBreak/>
        <w:t>The uncertainty interval</w:t>
      </w:r>
      <w:r w:rsidR="00F0205F">
        <w:rPr>
          <w:rFonts w:eastAsiaTheme="minorEastAsia"/>
        </w:rPr>
        <w:t>s</w:t>
      </w:r>
      <w:r>
        <w:rPr>
          <w:rFonts w:eastAsiaTheme="minorEastAsia"/>
        </w:rPr>
        <w:t xml:space="preserve"> </w:t>
      </w:r>
      <w:r w:rsidR="00F0205F">
        <w:rPr>
          <w:rFonts w:eastAsiaTheme="minorEastAsia"/>
        </w:rPr>
        <w:t>and the final decision-making is as follows</w:t>
      </w:r>
      <w:r w:rsidR="00B34F1D">
        <w:rPr>
          <w:rFonts w:eastAsiaTheme="minorEastAsia"/>
        </w:rPr>
        <w:t>:</w:t>
      </w:r>
    </w:p>
    <w:tbl>
      <w:tblPr>
        <w:tblStyle w:val="Tabellenraster"/>
        <w:tblW w:w="0" w:type="auto"/>
        <w:tblInd w:w="108" w:type="dxa"/>
        <w:tblLook w:val="04A0" w:firstRow="1" w:lastRow="0" w:firstColumn="1" w:lastColumn="0" w:noHBand="0" w:noVBand="1"/>
      </w:tblPr>
      <w:tblGrid>
        <w:gridCol w:w="4665"/>
        <w:gridCol w:w="4576"/>
      </w:tblGrid>
      <w:tr w:rsidR="00BB4F89" w:rsidRPr="00444F62" w:rsidTr="00BB4F89">
        <w:tc>
          <w:tcPr>
            <w:tcW w:w="4665" w:type="dxa"/>
          </w:tcPr>
          <w:p w:rsidR="00BB4F89" w:rsidRPr="00444F62" w:rsidRDefault="00BB4F89" w:rsidP="00AB7837">
            <w:pPr>
              <w:jc w:val="center"/>
              <w:rPr>
                <w:rFonts w:eastAsiaTheme="minorEastAsia"/>
                <w:b/>
              </w:rPr>
            </w:pPr>
            <w:r w:rsidRPr="00444F62">
              <w:rPr>
                <w:rFonts w:eastAsiaTheme="minorEastAsia"/>
                <w:b/>
              </w:rPr>
              <w:t>Decision rule A</w:t>
            </w:r>
            <w:r>
              <w:rPr>
                <w:rFonts w:eastAsiaTheme="minorEastAsia"/>
                <w:b/>
              </w:rPr>
              <w:t>: based on producer’s risk</w:t>
            </w:r>
          </w:p>
        </w:tc>
        <w:tc>
          <w:tcPr>
            <w:tcW w:w="4576" w:type="dxa"/>
          </w:tcPr>
          <w:p w:rsidR="00BB4F89" w:rsidRPr="00444F62" w:rsidRDefault="00BB4F89" w:rsidP="00AB7837">
            <w:pPr>
              <w:jc w:val="center"/>
              <w:rPr>
                <w:rFonts w:eastAsiaTheme="minorEastAsia"/>
                <w:b/>
              </w:rPr>
            </w:pPr>
            <w:r w:rsidRPr="00444F62">
              <w:rPr>
                <w:rFonts w:eastAsiaTheme="minorEastAsia"/>
                <w:b/>
              </w:rPr>
              <w:t>Decision rule B</w:t>
            </w:r>
            <w:r>
              <w:rPr>
                <w:rFonts w:eastAsiaTheme="minorEastAsia"/>
                <w:b/>
              </w:rPr>
              <w:t>: based on consumer’s risk</w:t>
            </w:r>
          </w:p>
        </w:tc>
      </w:tr>
      <w:tr w:rsidR="00BB4F89" w:rsidTr="00BB4F89">
        <w:tc>
          <w:tcPr>
            <w:tcW w:w="4665" w:type="dxa"/>
          </w:tcPr>
          <w:p w:rsidR="00BB4F89" w:rsidRPr="00F0205F" w:rsidRDefault="00BB4F89" w:rsidP="00F0205F">
            <w:pPr>
              <w:jc w:val="center"/>
              <w:rPr>
                <w:rFonts w:eastAsiaTheme="minorEastAsia"/>
              </w:rPr>
            </w:pPr>
            <w:r w:rsidRPr="00F0205F">
              <w:rPr>
                <w:rFonts w:eastAsiaTheme="minorEastAsia"/>
              </w:rPr>
              <w:t>Producer’s risk = 0.05</w:t>
            </w:r>
          </w:p>
        </w:tc>
        <w:tc>
          <w:tcPr>
            <w:tcW w:w="4576" w:type="dxa"/>
          </w:tcPr>
          <w:p w:rsidR="00BB4F89" w:rsidRPr="00F0205F" w:rsidRDefault="00BB4F89" w:rsidP="00F0205F">
            <w:pPr>
              <w:jc w:val="center"/>
              <w:rPr>
                <w:rFonts w:eastAsiaTheme="minorEastAsia"/>
              </w:rPr>
            </w:pPr>
            <w:r w:rsidRPr="00F0205F">
              <w:rPr>
                <w:rFonts w:eastAsiaTheme="minorEastAsia"/>
              </w:rPr>
              <w:t>Consumer’s risk = 0.10</w:t>
            </w:r>
          </w:p>
        </w:tc>
      </w:tr>
      <w:tr w:rsidR="00BB4F89" w:rsidTr="00BB4F89">
        <w:tc>
          <w:tcPr>
            <w:tcW w:w="4665" w:type="dxa"/>
          </w:tcPr>
          <w:p w:rsidR="00BB4F89" w:rsidRPr="00F0205F" w:rsidRDefault="00BB4F89" w:rsidP="00F0205F">
            <w:pPr>
              <w:jc w:val="center"/>
              <w:rPr>
                <w:rFonts w:eastAsiaTheme="minorEastAsia"/>
              </w:rPr>
            </w:pPr>
            <w:r w:rsidRPr="00F0205F">
              <w:rPr>
                <w:rFonts w:eastAsiaTheme="minorEastAsia"/>
              </w:rPr>
              <w:t xml:space="preserve">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1-0.05</m:t>
                  </m:r>
                </m:e>
              </m:d>
              <m:r>
                <w:rPr>
                  <w:rFonts w:ascii="Cambria Math" w:eastAsiaTheme="minorEastAsia" w:hAnsi="Cambria Math"/>
                </w:rPr>
                <m:t>=1.645</m:t>
              </m:r>
            </m:oMath>
          </w:p>
        </w:tc>
        <w:tc>
          <w:tcPr>
            <w:tcW w:w="4576" w:type="dxa"/>
          </w:tcPr>
          <w:p w:rsidR="00BB4F89" w:rsidRPr="00F0205F" w:rsidRDefault="00BB4F89" w:rsidP="00F0205F">
            <w:pPr>
              <w:jc w:val="center"/>
              <w:rPr>
                <w:rFonts w:eastAsiaTheme="minorEastAsia"/>
              </w:rPr>
            </w:pPr>
            <w:r w:rsidRPr="00F0205F">
              <w:rPr>
                <w:rFonts w:eastAsiaTheme="minorEastAsia"/>
              </w:rPr>
              <w:t xml:space="preserve">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=1.282</m:t>
              </m:r>
            </m:oMath>
          </w:p>
        </w:tc>
      </w:tr>
      <w:tr w:rsidR="00BB4F89" w:rsidTr="00BB4F89">
        <w:tc>
          <w:tcPr>
            <w:tcW w:w="4665" w:type="dxa"/>
          </w:tcPr>
          <w:p w:rsidR="00BB4F89" w:rsidRPr="00F0205F" w:rsidRDefault="009B2AF7" w:rsidP="00F0205F">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1-0.05</m:t>
                    </m:r>
                  </m:e>
                </m:d>
                <m:r>
                  <w:rPr>
                    <w:rFonts w:ascii="Cambria Math" w:hAnsi="Cambria Math"/>
                  </w:rPr>
                  <m:t>∙</m:t>
                </m:r>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r>
                  <w:rPr>
                    <w:rFonts w:ascii="Cambria Math" w:hAnsi="Cambria Math"/>
                  </w:rPr>
                  <m:t>=0.95</m:t>
                </m:r>
              </m:oMath>
            </m:oMathPara>
          </w:p>
        </w:tc>
        <w:tc>
          <w:tcPr>
            <w:tcW w:w="4576" w:type="dxa"/>
          </w:tcPr>
          <w:p w:rsidR="00BB4F89" w:rsidRPr="00F0205F" w:rsidRDefault="009B2AF7" w:rsidP="00F0205F">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1-0.10</m:t>
                    </m:r>
                  </m:e>
                </m:d>
                <m:r>
                  <w:rPr>
                    <w:rFonts w:ascii="Cambria Math" w:hAnsi="Cambria Math"/>
                  </w:rPr>
                  <m:t>∙</m:t>
                </m:r>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r>
                  <w:rPr>
                    <w:rFonts w:ascii="Cambria Math" w:hAnsi="Cambria Math"/>
                  </w:rPr>
                  <m:t>=0.74</m:t>
                </m:r>
              </m:oMath>
            </m:oMathPara>
          </w:p>
        </w:tc>
      </w:tr>
      <w:tr w:rsidR="007B7CB7" w:rsidTr="00BB4F89">
        <w:tc>
          <w:tcPr>
            <w:tcW w:w="4665" w:type="dxa"/>
          </w:tcPr>
          <w:p w:rsidR="007B7CB7" w:rsidRDefault="007B7CB7" w:rsidP="00F0205F">
            <w:pPr>
              <w:jc w:val="center"/>
              <w:rPr>
                <w:rFonts w:ascii="Calibri" w:eastAsia="Calibri" w:hAnsi="Calibri" w:cs="Times New Roman"/>
              </w:rPr>
            </w:pPr>
            <w:r>
              <w:rPr>
                <w:rFonts w:ascii="Calibri" w:eastAsia="Calibri" w:hAnsi="Calibri" w:cs="Times New Roman"/>
              </w:rPr>
              <w:t xml:space="preserve">Uncertainty interval: </w:t>
            </w:r>
          </w:p>
          <w:p w:rsidR="007B7CB7" w:rsidRPr="00F0205F" w:rsidRDefault="009B2AF7" w:rsidP="00F0205F">
            <w:pPr>
              <w:jc w:val="center"/>
              <w:rPr>
                <w:rFonts w:ascii="Calibri" w:eastAsia="Calibri" w:hAnsi="Calibri" w:cs="Times New Roman"/>
              </w:rPr>
            </w:p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=23.8±</m:t>
              </m:r>
              <m:r>
                <w:rPr>
                  <w:rFonts w:ascii="Cambria Math" w:hAnsi="Cambria Math"/>
                </w:rPr>
                <m:t>0.95</m:t>
              </m:r>
            </m:oMath>
            <w:r w:rsidR="008941AC">
              <w:rPr>
                <w:rFonts w:ascii="Calibri" w:eastAsia="Calibri" w:hAnsi="Calibri" w:cs="Times New Roman"/>
              </w:rPr>
              <w:t xml:space="preserve"> </w:t>
            </w:r>
            <w:r w:rsidR="00EF1D98">
              <w:rPr>
                <w:rFonts w:ascii="Calibri" w:eastAsia="Calibri" w:hAnsi="Calibri" w:cs="Times New Roman"/>
              </w:rPr>
              <w:br/>
            </w:r>
            <w:r w:rsidR="00EA5991">
              <w:rPr>
                <w:rFonts w:ascii="Calibri" w:eastAsia="Calibri" w:hAnsi="Calibri" w:cs="Times New Roman"/>
              </w:rPr>
              <w:t>(represented by</w:t>
            </w:r>
            <w:r w:rsidR="008941AC">
              <w:rPr>
                <w:rFonts w:ascii="Calibri" w:eastAsia="Calibri" w:hAnsi="Calibri" w:cs="Times New Roman"/>
              </w:rPr>
              <w:t xml:space="preserve"> green </w:t>
            </w:r>
            <w:r w:rsidR="00EF1D98">
              <w:rPr>
                <w:rFonts w:ascii="Calibri" w:eastAsia="Calibri" w:hAnsi="Calibri" w:cs="Times New Roman"/>
              </w:rPr>
              <w:t xml:space="preserve">horizontal </w:t>
            </w:r>
            <w:r w:rsidR="008941AC">
              <w:rPr>
                <w:rFonts w:ascii="Calibri" w:eastAsia="Calibri" w:hAnsi="Calibri" w:cs="Times New Roman"/>
              </w:rPr>
              <w:t>bar</w:t>
            </w:r>
            <w:r w:rsidR="00EF1D98">
              <w:rPr>
                <w:rFonts w:ascii="Calibri" w:eastAsia="Calibri" w:hAnsi="Calibri" w:cs="Times New Roman"/>
              </w:rPr>
              <w:t>)</w:t>
            </w:r>
          </w:p>
        </w:tc>
        <w:tc>
          <w:tcPr>
            <w:tcW w:w="4576" w:type="dxa"/>
          </w:tcPr>
          <w:p w:rsidR="007B7CB7" w:rsidRDefault="007B7CB7" w:rsidP="007B7CB7">
            <w:pPr>
              <w:jc w:val="center"/>
              <w:rPr>
                <w:rFonts w:ascii="Calibri" w:eastAsia="Calibri" w:hAnsi="Calibri" w:cs="Times New Roman"/>
              </w:rPr>
            </w:pPr>
            <w:r>
              <w:rPr>
                <w:rFonts w:ascii="Calibri" w:eastAsia="Calibri" w:hAnsi="Calibri" w:cs="Times New Roman"/>
              </w:rPr>
              <w:t xml:space="preserve">Uncertainty interval: </w:t>
            </w:r>
          </w:p>
          <w:p w:rsidR="007B7CB7" w:rsidRPr="00EF1D98" w:rsidRDefault="009B2AF7" w:rsidP="007B7CB7">
            <w:pPr>
              <w:jc w:val="center"/>
              <w:rPr>
                <w:rFonts w:ascii="Calibri" w:eastAsia="MS Mincho" w:hAnsi="Calibri" w:cs="Times New Roman"/>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=23.8±</m:t>
                </m:r>
                <m:r>
                  <w:rPr>
                    <w:rFonts w:ascii="Cambria Math" w:hAnsi="Cambria Math"/>
                  </w:rPr>
                  <m:t>0.74</m:t>
                </m:r>
              </m:oMath>
            </m:oMathPara>
          </w:p>
          <w:p w:rsidR="00EF1D98" w:rsidRPr="00F0205F" w:rsidRDefault="00EA5991" w:rsidP="007B7CB7">
            <w:pPr>
              <w:jc w:val="center"/>
              <w:rPr>
                <w:rFonts w:ascii="Calibri" w:eastAsia="MS Mincho" w:hAnsi="Calibri" w:cs="Times New Roman"/>
              </w:rPr>
            </w:pPr>
            <w:r>
              <w:rPr>
                <w:rFonts w:ascii="Calibri" w:eastAsia="Calibri" w:hAnsi="Calibri" w:cs="Times New Roman"/>
              </w:rPr>
              <w:t>(represented by</w:t>
            </w:r>
            <w:r w:rsidR="00EF1D98">
              <w:rPr>
                <w:rFonts w:ascii="Calibri" w:eastAsia="Calibri" w:hAnsi="Calibri" w:cs="Times New Roman"/>
              </w:rPr>
              <w:t xml:space="preserve"> green horizontal bar)</w:t>
            </w:r>
          </w:p>
        </w:tc>
      </w:tr>
      <w:tr w:rsidR="00BB4F89" w:rsidRPr="00444F62" w:rsidTr="00BB4F89">
        <w:tc>
          <w:tcPr>
            <w:tcW w:w="4665" w:type="dxa"/>
          </w:tcPr>
          <w:p w:rsidR="001F2E6A" w:rsidRPr="00F0205F" w:rsidRDefault="00AB7837" w:rsidP="00F0205F">
            <w:pPr>
              <w:jc w:val="center"/>
              <w:rPr>
                <w:rFonts w:eastAsiaTheme="minorEastAsia"/>
              </w:rPr>
            </w:pPr>
            <w:r w:rsidRPr="00F0205F">
              <w:rPr>
                <w:rFonts w:eastAsiaTheme="minorEastAsia"/>
              </w:rPr>
              <w:t>Decision:</w:t>
            </w:r>
          </w:p>
          <w:p w:rsidR="00BB4F89" w:rsidRPr="00F0205F" w:rsidRDefault="009B2AF7" w:rsidP="00F0205F">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=24.75&gt;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m:t>
                </m:r>
                <m:r>
                  <m:rPr>
                    <m:sty m:val="p"/>
                  </m:rPr>
                  <w:rPr>
                    <w:rFonts w:ascii="Cambria Math" w:eastAsiaTheme="minorEastAsia" w:hAnsi="Cambria Math"/>
                  </w:rPr>
                  <m:t>24.65</m:t>
                </m:r>
              </m:oMath>
            </m:oMathPara>
          </w:p>
          <w:p w:rsidR="00AB7837" w:rsidRPr="00F0205F" w:rsidRDefault="00AB7837" w:rsidP="00EF1D98">
            <w:pPr>
              <w:jc w:val="center"/>
              <w:rPr>
                <w:rFonts w:eastAsiaTheme="minorEastAsia"/>
              </w:rPr>
            </w:pPr>
            <w:r w:rsidRPr="00F0205F">
              <w:rPr>
                <w:rFonts w:eastAsiaTheme="minorEastAsia"/>
              </w:rPr>
              <w:t>Lot accepted</w:t>
            </w:r>
            <w:r w:rsidR="007033ED">
              <w:rPr>
                <w:rFonts w:eastAsiaTheme="minorEastAsia"/>
              </w:rPr>
              <w:t xml:space="preserve"> </w:t>
            </w:r>
            <w:r w:rsidR="00EF1D98">
              <w:rPr>
                <w:rFonts w:eastAsiaTheme="minorEastAsia"/>
              </w:rPr>
              <w:br/>
              <w:t xml:space="preserve">(green bar not completely left from red line; still overlapping) </w:t>
            </w:r>
          </w:p>
        </w:tc>
        <w:tc>
          <w:tcPr>
            <w:tcW w:w="4576" w:type="dxa"/>
          </w:tcPr>
          <w:p w:rsidR="001F2E6A" w:rsidRPr="00F0205F" w:rsidRDefault="00AB7837" w:rsidP="00F0205F">
            <w:pPr>
              <w:jc w:val="center"/>
              <w:rPr>
                <w:rFonts w:eastAsiaTheme="minorEastAsia"/>
              </w:rPr>
            </w:pPr>
            <w:r w:rsidRPr="00F0205F">
              <w:rPr>
                <w:rFonts w:eastAsiaTheme="minorEastAsia"/>
              </w:rPr>
              <w:t>Decision:</w:t>
            </w:r>
          </w:p>
          <w:p w:rsidR="00AB7837" w:rsidRPr="00F0205F" w:rsidRDefault="009B2AF7" w:rsidP="00F0205F">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=23.06&gt;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m:t>
                </m:r>
                <m:r>
                  <m:rPr>
                    <m:sty m:val="p"/>
                  </m:rPr>
                  <w:rPr>
                    <w:rFonts w:ascii="Cambria Math" w:eastAsiaTheme="minorEastAsia" w:hAnsi="Cambria Math"/>
                  </w:rPr>
                  <m:t>22.86</m:t>
                </m:r>
              </m:oMath>
            </m:oMathPara>
          </w:p>
          <w:p w:rsidR="00AB7837" w:rsidRDefault="00AB7837" w:rsidP="00F0205F">
            <w:pPr>
              <w:jc w:val="center"/>
              <w:rPr>
                <w:rFonts w:eastAsiaTheme="minorEastAsia"/>
              </w:rPr>
            </w:pPr>
            <w:r w:rsidRPr="00F0205F">
              <w:rPr>
                <w:rFonts w:eastAsiaTheme="minorEastAsia"/>
              </w:rPr>
              <w:t>Lot accepted</w:t>
            </w:r>
          </w:p>
          <w:p w:rsidR="00BB4F89" w:rsidRPr="00F0205F" w:rsidRDefault="00EA5991" w:rsidP="00EF1D98">
            <w:pPr>
              <w:jc w:val="center"/>
              <w:rPr>
                <w:rFonts w:eastAsiaTheme="minorEastAsia"/>
              </w:rPr>
            </w:pPr>
            <w:r>
              <w:rPr>
                <w:rFonts w:eastAsiaTheme="minorEastAsia"/>
              </w:rPr>
              <w:t>(green bar right from</w:t>
            </w:r>
            <w:r w:rsidR="00EF1D98">
              <w:rPr>
                <w:rFonts w:eastAsiaTheme="minorEastAsia"/>
              </w:rPr>
              <w:t xml:space="preserve"> red line; no overlap)</w:t>
            </w:r>
            <w:r w:rsidR="00EF1D98" w:rsidRPr="00F0205F">
              <w:rPr>
                <w:rFonts w:eastAsiaTheme="minorEastAsia"/>
              </w:rPr>
              <w:t xml:space="preserve"> </w:t>
            </w:r>
          </w:p>
        </w:tc>
      </w:tr>
      <w:tr w:rsidR="00A8559C" w:rsidRPr="00444F62" w:rsidTr="00BB4F89">
        <w:tc>
          <w:tcPr>
            <w:tcW w:w="4665" w:type="dxa"/>
          </w:tcPr>
          <w:p w:rsidR="00A8559C" w:rsidRPr="00444F62" w:rsidRDefault="00FB370D" w:rsidP="00AB7837">
            <w:pPr>
              <w:rPr>
                <w:rFonts w:ascii="Calibri" w:eastAsia="Calibri" w:hAnsi="Calibri" w:cs="Times New Roman"/>
                <w:b/>
              </w:rPr>
            </w:pPr>
            <w:r>
              <w:rPr>
                <w:rFonts w:ascii="Calibri" w:eastAsia="Calibri" w:hAnsi="Calibri" w:cs="Times New Roman"/>
                <w:b/>
                <w:noProof/>
                <w:lang w:val="de-DE" w:eastAsia="de-DE"/>
              </w:rPr>
              <w:drawing>
                <wp:inline distT="0" distB="0" distL="0" distR="0" wp14:anchorId="7880360A" wp14:editId="71BC10D9">
                  <wp:extent cx="2758440" cy="1653540"/>
                  <wp:effectExtent l="0" t="0" r="1016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1653540"/>
                          </a:xfrm>
                          <a:prstGeom prst="rect">
                            <a:avLst/>
                          </a:prstGeom>
                          <a:noFill/>
                          <a:ln>
                            <a:noFill/>
                          </a:ln>
                        </pic:spPr>
                      </pic:pic>
                    </a:graphicData>
                  </a:graphic>
                </wp:inline>
              </w:drawing>
            </w:r>
          </w:p>
        </w:tc>
        <w:tc>
          <w:tcPr>
            <w:tcW w:w="4576" w:type="dxa"/>
          </w:tcPr>
          <w:p w:rsidR="00A8559C" w:rsidRPr="00444F62" w:rsidRDefault="006547B1" w:rsidP="00AB7837">
            <w:pPr>
              <w:rPr>
                <w:rFonts w:ascii="Calibri" w:eastAsia="MS Mincho" w:hAnsi="Calibri" w:cs="Times New Roman"/>
                <w:b/>
              </w:rPr>
            </w:pPr>
            <w:r>
              <w:rPr>
                <w:rFonts w:ascii="Calibri" w:eastAsia="MS Mincho" w:hAnsi="Calibri" w:cs="Times New Roman"/>
                <w:b/>
                <w:noProof/>
                <w:lang w:val="de-DE" w:eastAsia="de-DE"/>
              </w:rPr>
              <w:drawing>
                <wp:inline distT="0" distB="0" distL="0" distR="0" wp14:anchorId="3219B5CF" wp14:editId="333A6B3C">
                  <wp:extent cx="2758440" cy="1653540"/>
                  <wp:effectExtent l="0" t="0" r="1016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1653540"/>
                          </a:xfrm>
                          <a:prstGeom prst="rect">
                            <a:avLst/>
                          </a:prstGeom>
                          <a:noFill/>
                          <a:ln>
                            <a:noFill/>
                          </a:ln>
                        </pic:spPr>
                      </pic:pic>
                    </a:graphicData>
                  </a:graphic>
                </wp:inline>
              </w:drawing>
            </w:r>
          </w:p>
        </w:tc>
      </w:tr>
    </w:tbl>
    <w:p w:rsidR="00B34F1D" w:rsidRDefault="00FB370D" w:rsidP="00FB370D">
      <w:pPr>
        <w:tabs>
          <w:tab w:val="left" w:pos="5186"/>
        </w:tabs>
        <w:rPr>
          <w:rFonts w:eastAsiaTheme="minorEastAsia"/>
        </w:rPr>
      </w:pPr>
      <w:r>
        <w:rPr>
          <w:rFonts w:eastAsiaTheme="minorEastAsia"/>
        </w:rPr>
        <w:tab/>
      </w:r>
    </w:p>
    <w:p w:rsidR="00F0205F" w:rsidRDefault="00446B93" w:rsidP="00446B93">
      <w:pPr>
        <w:rPr>
          <w:rFonts w:eastAsiaTheme="minorEastAsia"/>
        </w:rPr>
      </w:pPr>
      <w:r>
        <w:rPr>
          <w:rFonts w:eastAsiaTheme="minorEastAsia"/>
        </w:rPr>
        <w:t xml:space="preserve">It should be noted that both decision rules are </w:t>
      </w:r>
      <w:r w:rsidR="00567298">
        <w:rPr>
          <w:rFonts w:eastAsiaTheme="minorEastAsia"/>
        </w:rPr>
        <w:t>close</w:t>
      </w:r>
      <w:r>
        <w:rPr>
          <w:rFonts w:eastAsiaTheme="minorEastAsia"/>
        </w:rPr>
        <w:t xml:space="preserve"> at the limit. This is true also for the </w:t>
      </w:r>
      <w:r w:rsidR="00F0205F">
        <w:rPr>
          <w:rFonts w:eastAsiaTheme="minorEastAsia"/>
        </w:rPr>
        <w:t>acceptance criterion of the ISO approach,</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-kσ&gt;L</m:t>
        </m:r>
      </m:oMath>
      <w:r w:rsidR="00F0205F">
        <w:rPr>
          <w:rFonts w:eastAsiaTheme="minorEastAsia"/>
        </w:rPr>
        <w:t>, as</w:t>
      </w:r>
    </w:p>
    <w:p w:rsidR="00567298" w:rsidRPr="00844A35" w:rsidRDefault="009B2AF7" w:rsidP="00F0205F">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-kσ=23.8-1.8∙2=20.2&gt;L=20.</m:t>
          </m:r>
        </m:oMath>
      </m:oMathPara>
    </w:p>
    <w:p w:rsidR="00567298" w:rsidRDefault="002233A2" w:rsidP="00844A35">
      <w:pPr>
        <w:rPr>
          <w:rFonts w:eastAsiaTheme="minorEastAsia"/>
        </w:rPr>
      </w:pPr>
      <w:r>
        <w:rPr>
          <w:rFonts w:eastAsiaTheme="minorEastAsia"/>
        </w:rPr>
        <w:t xml:space="preserve">If </w:t>
      </w:r>
      <m:oMath>
        <m:acc>
          <m:accPr>
            <m:chr m:val="̅"/>
            <m:ctrlPr>
              <w:rPr>
                <w:rFonts w:ascii="Cambria Math" w:eastAsiaTheme="minorEastAsia" w:hAnsi="Cambria Math"/>
                <w:i/>
              </w:rPr>
            </m:ctrlPr>
          </m:accPr>
          <m:e>
            <m:r>
              <w:rPr>
                <w:rFonts w:ascii="Cambria Math" w:eastAsiaTheme="minorEastAsia" w:hAnsi="Cambria Math"/>
              </w:rPr>
              <m:t>X</m:t>
            </m:r>
          </m:e>
        </m:acc>
      </m:oMath>
      <w:r w:rsidR="00567298">
        <w:rPr>
          <w:rFonts w:eastAsiaTheme="minorEastAsia"/>
        </w:rPr>
        <w:t>&lt;</w:t>
      </w:r>
      <w:r w:rsidR="00B87B74">
        <w:rPr>
          <w:rFonts w:eastAsiaTheme="minorEastAsia"/>
        </w:rPr>
        <w:t>23.6, the</w:t>
      </w:r>
      <w:r>
        <w:rPr>
          <w:rFonts w:eastAsiaTheme="minorEastAsia"/>
        </w:rPr>
        <w:t xml:space="preserve"> </w:t>
      </w:r>
      <w:r w:rsidR="00B87B74">
        <w:rPr>
          <w:rFonts w:eastAsiaTheme="minorEastAsia"/>
        </w:rPr>
        <w:t xml:space="preserve">three </w:t>
      </w:r>
      <w:r>
        <w:rPr>
          <w:rFonts w:eastAsiaTheme="minorEastAsia"/>
        </w:rPr>
        <w:t xml:space="preserve">decision rules will come to a </w:t>
      </w:r>
      <w:r w:rsidR="00567298">
        <w:rPr>
          <w:rFonts w:eastAsiaTheme="minorEastAsia"/>
        </w:rPr>
        <w:t>negative</w:t>
      </w:r>
      <w:r>
        <w:rPr>
          <w:rFonts w:eastAsiaTheme="minorEastAsia"/>
        </w:rPr>
        <w:t xml:space="preserve"> result, </w:t>
      </w:r>
      <w:proofErr w:type="spellStart"/>
      <w:r w:rsidR="00FB370D">
        <w:rPr>
          <w:rFonts w:eastAsiaTheme="minorEastAsia"/>
        </w:rPr>
        <w:t>ie</w:t>
      </w:r>
      <w:proofErr w:type="spellEnd"/>
      <w:r w:rsidR="00567298">
        <w:rPr>
          <w:rFonts w:eastAsiaTheme="minorEastAsia"/>
        </w:rPr>
        <w:t xml:space="preserve"> the lot will be rejected.</w:t>
      </w:r>
      <w:r w:rsidR="00FB370D">
        <w:rPr>
          <w:rFonts w:eastAsiaTheme="minorEastAsia"/>
        </w:rPr>
        <w:t xml:space="preserve"> This example demonstrates that the three decision rules are indeed equivalent, </w:t>
      </w:r>
      <w:proofErr w:type="spellStart"/>
      <w:r w:rsidR="00FB370D">
        <w:rPr>
          <w:rFonts w:eastAsiaTheme="minorEastAsia"/>
        </w:rPr>
        <w:t>ie</w:t>
      </w:r>
      <w:proofErr w:type="spellEnd"/>
      <w:r w:rsidR="00FB370D">
        <w:rPr>
          <w:rFonts w:eastAsiaTheme="minorEastAsia"/>
        </w:rPr>
        <w:t xml:space="preserve"> whether the lot will be accepted or not is not depending on the choice of the rule. </w:t>
      </w:r>
    </w:p>
    <w:p w:rsidR="00567298" w:rsidRDefault="00567298" w:rsidP="00844A35">
      <w:pPr>
        <w:rPr>
          <w:rFonts w:eastAsiaTheme="minorEastAsia"/>
        </w:rPr>
      </w:pPr>
    </w:p>
    <w:p w:rsidR="004722FD" w:rsidRDefault="004722FD" w:rsidP="004722FD">
      <w:pPr>
        <w:pStyle w:val="berschrift2"/>
      </w:pPr>
      <w:r>
        <w:t xml:space="preserve">Conclusion </w:t>
      </w:r>
    </w:p>
    <w:p w:rsidR="007B0B4A" w:rsidRDefault="00DA7B76" w:rsidP="004722FD">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The d</w:t>
      </w:r>
      <w:r w:rsidR="004722FD" w:rsidRPr="00066B73">
        <w:rPr>
          <w:rFonts w:eastAsiaTheme="minorEastAsia"/>
        </w:rPr>
        <w:t>ec</w:t>
      </w:r>
      <w:r w:rsidR="007B0B4A">
        <w:rPr>
          <w:rFonts w:eastAsiaTheme="minorEastAsia"/>
        </w:rPr>
        <w:t xml:space="preserve">ision </w:t>
      </w:r>
      <w:r>
        <w:rPr>
          <w:rFonts w:eastAsiaTheme="minorEastAsia"/>
        </w:rPr>
        <w:t>as to the</w:t>
      </w:r>
      <w:r w:rsidR="007B0B4A">
        <w:rPr>
          <w:rFonts w:eastAsiaTheme="minorEastAsia"/>
        </w:rPr>
        <w:t xml:space="preserve"> acceptance of a lot according to the ISO approach for the </w:t>
      </w:r>
      <m:oMath>
        <m:r>
          <w:rPr>
            <w:rFonts w:ascii="Cambria Math" w:eastAsiaTheme="minorEastAsia" w:hAnsi="Cambria Math"/>
          </w:rPr>
          <m:t>"</m:t>
        </m:r>
        <m:r>
          <w:rPr>
            <w:rFonts w:ascii="Cambria Math" w:hAnsi="Cambria Math"/>
          </w:rPr>
          <m:t>σ</m:t>
        </m:r>
      </m:oMath>
      <w:r w:rsidR="007B0B4A">
        <w:rPr>
          <w:rFonts w:eastAsiaTheme="minorEastAsia"/>
        </w:rPr>
        <w:t xml:space="preserve">” method is equivalent with decision rule A. </w:t>
      </w:r>
      <w:r w:rsidR="008B1A9D">
        <w:rPr>
          <w:rFonts w:eastAsiaTheme="minorEastAsia"/>
        </w:rPr>
        <w:t>D</w:t>
      </w:r>
      <w:r w:rsidR="007B0B4A">
        <w:rPr>
          <w:rFonts w:eastAsiaTheme="minorEastAsia"/>
        </w:rPr>
        <w:t>ecision rule</w:t>
      </w:r>
      <w:r w:rsidR="00E649BA">
        <w:rPr>
          <w:rFonts w:eastAsiaTheme="minorEastAsia"/>
        </w:rPr>
        <w:t xml:space="preserve"> </w:t>
      </w:r>
      <w:r w:rsidR="008B1A9D">
        <w:rPr>
          <w:rFonts w:eastAsiaTheme="minorEastAsia"/>
        </w:rPr>
        <w:t xml:space="preserve">A </w:t>
      </w:r>
      <w:r w:rsidR="00E649BA">
        <w:rPr>
          <w:rFonts w:eastAsiaTheme="minorEastAsia"/>
        </w:rPr>
        <w:t>i</w:t>
      </w:r>
      <w:r w:rsidR="007B0B4A">
        <w:rPr>
          <w:rFonts w:eastAsiaTheme="minorEastAsia"/>
        </w:rPr>
        <w:t xml:space="preserve">s based on a comparison of the </w:t>
      </w:r>
      <w:r w:rsidR="004722FD">
        <w:rPr>
          <w:rFonts w:eastAsiaTheme="minorEastAsia"/>
        </w:rPr>
        <w:t xml:space="preserve">sample average </w:t>
      </w:r>
      <w:r w:rsidR="007B0B4A">
        <w:rPr>
          <w:rFonts w:eastAsiaTheme="minorEastAsia"/>
        </w:rPr>
        <w:t>with</w:t>
      </w:r>
      <w:r>
        <w:rPr>
          <w:rFonts w:eastAsiaTheme="minorEastAsia"/>
        </w:rPr>
        <w:t xml:space="preserve"> the</w:t>
      </w:r>
      <w:r w:rsidR="007B0B4A">
        <w:rPr>
          <w:rFonts w:eastAsiaTheme="minorEastAsia"/>
        </w:rPr>
        <w:t xml:space="preserve"> AQL process mean </w:t>
      </w:r>
      <w:r>
        <w:rPr>
          <w:rFonts w:eastAsiaTheme="minorEastAsia"/>
        </w:rPr>
        <w:t>under consideration of</w:t>
      </w:r>
      <w:r w:rsidR="00952865">
        <w:rPr>
          <w:rFonts w:eastAsiaTheme="minorEastAsia"/>
        </w:rPr>
        <w:t xml:space="preserve"> the sampling</w:t>
      </w:r>
      <w:r w:rsidR="007B0B4A">
        <w:rPr>
          <w:rFonts w:eastAsiaTheme="minorEastAsia"/>
        </w:rPr>
        <w:t xml:space="preserve"> uncertainty. </w:t>
      </w:r>
      <w:r>
        <w:rPr>
          <w:rFonts w:eastAsiaTheme="minorEastAsia"/>
        </w:rPr>
        <w:t>The c</w:t>
      </w:r>
      <w:r w:rsidR="007B0B4A">
        <w:rPr>
          <w:rFonts w:eastAsiaTheme="minorEastAsia"/>
        </w:rPr>
        <w:t xml:space="preserve">overage factor is </w:t>
      </w:r>
      <w:r w:rsidR="00844A35">
        <w:rPr>
          <w:rFonts w:eastAsiaTheme="minorEastAsia"/>
        </w:rPr>
        <w:t xml:space="preserve">derived from </w:t>
      </w:r>
      <w:r w:rsidR="007B0B4A">
        <w:rPr>
          <w:rFonts w:eastAsiaTheme="minorEastAsia"/>
        </w:rPr>
        <w:t xml:space="preserve">the </w:t>
      </w:r>
      <w:r>
        <w:rPr>
          <w:rFonts w:eastAsiaTheme="minorEastAsia"/>
        </w:rPr>
        <w:t xml:space="preserve">corresponding </w:t>
      </w:r>
      <w:r w:rsidR="007B0B4A">
        <w:rPr>
          <w:rFonts w:eastAsiaTheme="minorEastAsia"/>
        </w:rPr>
        <w:t>producer</w:t>
      </w:r>
      <w:r w:rsidR="00E649BA">
        <w:rPr>
          <w:rFonts w:eastAsiaTheme="minorEastAsia"/>
        </w:rPr>
        <w:t>’s risk</w:t>
      </w:r>
      <w:r w:rsidR="007B0B4A">
        <w:rPr>
          <w:rFonts w:eastAsiaTheme="minorEastAsia"/>
        </w:rPr>
        <w:t>.</w:t>
      </w:r>
      <w:r w:rsidR="008B1A9D">
        <w:rPr>
          <w:rFonts w:eastAsiaTheme="minorEastAsia"/>
        </w:rPr>
        <w:t xml:space="preserve"> Decision rule A is in line with the GUM. Sampling uncertainty is taken into account, and analytical uncertainty</w:t>
      </w:r>
      <w:r w:rsidR="005F5026">
        <w:rPr>
          <w:rFonts w:eastAsiaTheme="minorEastAsia"/>
        </w:rPr>
        <w:t xml:space="preserve"> is assumed to be negligible.</w:t>
      </w:r>
    </w:p>
    <w:p w:rsidR="00E649BA" w:rsidRDefault="00DA7B76" w:rsidP="005F5026">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The d</w:t>
      </w:r>
      <w:r w:rsidR="00E649BA" w:rsidRPr="00066B73">
        <w:rPr>
          <w:rFonts w:eastAsiaTheme="minorEastAsia"/>
        </w:rPr>
        <w:t>ec</w:t>
      </w:r>
      <w:r w:rsidR="00E649BA">
        <w:rPr>
          <w:rFonts w:eastAsiaTheme="minorEastAsia"/>
        </w:rPr>
        <w:t xml:space="preserve">ision </w:t>
      </w:r>
      <w:r>
        <w:rPr>
          <w:rFonts w:eastAsiaTheme="minorEastAsia"/>
        </w:rPr>
        <w:t xml:space="preserve">as to the </w:t>
      </w:r>
      <w:r w:rsidR="00E649BA">
        <w:rPr>
          <w:rFonts w:eastAsiaTheme="minorEastAsia"/>
        </w:rPr>
        <w:t xml:space="preserve">acceptance of a lot according to the ISO approach for the </w:t>
      </w:r>
      <m:oMath>
        <m:r>
          <w:rPr>
            <w:rFonts w:ascii="Cambria Math" w:eastAsiaTheme="minorEastAsia" w:hAnsi="Cambria Math"/>
          </w:rPr>
          <m:t>"</m:t>
        </m:r>
        <m:r>
          <w:rPr>
            <w:rFonts w:ascii="Cambria Math" w:hAnsi="Cambria Math"/>
          </w:rPr>
          <m:t>σ</m:t>
        </m:r>
      </m:oMath>
      <w:r w:rsidR="00E649BA">
        <w:rPr>
          <w:rFonts w:eastAsiaTheme="minorEastAsia"/>
        </w:rPr>
        <w:t xml:space="preserve">” method is also equivalent with decision rule B. </w:t>
      </w:r>
      <w:r w:rsidR="008B1A9D">
        <w:rPr>
          <w:rFonts w:eastAsiaTheme="minorEastAsia"/>
        </w:rPr>
        <w:t>D</w:t>
      </w:r>
      <w:r w:rsidR="00E649BA">
        <w:rPr>
          <w:rFonts w:eastAsiaTheme="minorEastAsia"/>
        </w:rPr>
        <w:t xml:space="preserve">ecision rule </w:t>
      </w:r>
      <w:r w:rsidR="008B1A9D">
        <w:rPr>
          <w:rFonts w:eastAsiaTheme="minorEastAsia"/>
        </w:rPr>
        <w:t xml:space="preserve">B </w:t>
      </w:r>
      <w:r w:rsidR="00E649BA">
        <w:rPr>
          <w:rFonts w:eastAsiaTheme="minorEastAsia"/>
        </w:rPr>
        <w:t>is based on a comparison of the sample average with</w:t>
      </w:r>
      <w:r>
        <w:rPr>
          <w:rFonts w:eastAsiaTheme="minorEastAsia"/>
        </w:rPr>
        <w:t xml:space="preserve"> the</w:t>
      </w:r>
      <w:r w:rsidR="00E649BA">
        <w:rPr>
          <w:rFonts w:eastAsiaTheme="minorEastAsia"/>
        </w:rPr>
        <w:t xml:space="preserve"> LQ process mean </w:t>
      </w:r>
      <w:r>
        <w:rPr>
          <w:rFonts w:eastAsiaTheme="minorEastAsia"/>
        </w:rPr>
        <w:t>under consideration of</w:t>
      </w:r>
      <w:r w:rsidR="00952865">
        <w:rPr>
          <w:rFonts w:eastAsiaTheme="minorEastAsia"/>
        </w:rPr>
        <w:t xml:space="preserve"> the sampling</w:t>
      </w:r>
      <w:r w:rsidR="00E649BA">
        <w:rPr>
          <w:rFonts w:eastAsiaTheme="minorEastAsia"/>
        </w:rPr>
        <w:t xml:space="preserve"> uncertainty. </w:t>
      </w:r>
      <w:r>
        <w:rPr>
          <w:rFonts w:eastAsiaTheme="minorEastAsia"/>
        </w:rPr>
        <w:t>The c</w:t>
      </w:r>
      <w:r w:rsidR="00E649BA">
        <w:rPr>
          <w:rFonts w:eastAsiaTheme="minorEastAsia"/>
        </w:rPr>
        <w:t>overage factor is</w:t>
      </w:r>
      <w:r w:rsidR="00844A35">
        <w:rPr>
          <w:rFonts w:eastAsiaTheme="minorEastAsia"/>
        </w:rPr>
        <w:t xml:space="preserve"> derived from</w:t>
      </w:r>
      <w:r w:rsidR="00E649BA">
        <w:rPr>
          <w:rFonts w:eastAsiaTheme="minorEastAsia"/>
        </w:rPr>
        <w:t xml:space="preserve"> the </w:t>
      </w:r>
      <w:r>
        <w:rPr>
          <w:rFonts w:eastAsiaTheme="minorEastAsia"/>
        </w:rPr>
        <w:t xml:space="preserve">corresponding </w:t>
      </w:r>
      <w:r w:rsidR="00E649BA">
        <w:rPr>
          <w:rFonts w:eastAsiaTheme="minorEastAsia"/>
        </w:rPr>
        <w:t>consumer’s risk.</w:t>
      </w:r>
      <w:r w:rsidR="005F5026">
        <w:rPr>
          <w:rFonts w:eastAsiaTheme="minorEastAsia"/>
        </w:rPr>
        <w:t xml:space="preserve"> Decision rule B is in line with </w:t>
      </w:r>
      <w:r w:rsidR="005F5026">
        <w:rPr>
          <w:rFonts w:eastAsiaTheme="minorEastAsia"/>
        </w:rPr>
        <w:lastRenderedPageBreak/>
        <w:t>the GUM. Sampling uncertainty is taken into account, and analytical uncertainty is assumed to be negligible.</w:t>
      </w:r>
    </w:p>
    <w:p w:rsidR="007033ED" w:rsidRDefault="003E7815" w:rsidP="007033ED">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 xml:space="preserve">The ISO approach for the </w:t>
      </w:r>
      <m:oMath>
        <m:r>
          <w:rPr>
            <w:rFonts w:ascii="Cambria Math" w:eastAsiaTheme="minorEastAsia" w:hAnsi="Cambria Math"/>
          </w:rPr>
          <m:t>"</m:t>
        </m:r>
        <m:r>
          <w:rPr>
            <w:rFonts w:ascii="Cambria Math" w:hAnsi="Cambria Math"/>
          </w:rPr>
          <m:t>σ</m:t>
        </m:r>
      </m:oMath>
      <w:r>
        <w:rPr>
          <w:rFonts w:eastAsiaTheme="minorEastAsia"/>
        </w:rPr>
        <w:t>” method could easily be replaced by</w:t>
      </w:r>
      <w:r w:rsidR="00057C69">
        <w:rPr>
          <w:rFonts w:eastAsiaTheme="minorEastAsia"/>
        </w:rPr>
        <w:t xml:space="preserve"> one of the decision rules A or</w:t>
      </w:r>
      <w:r>
        <w:rPr>
          <w:rFonts w:eastAsiaTheme="minorEastAsia"/>
        </w:rPr>
        <w:t xml:space="preserve"> B</w:t>
      </w:r>
      <w:r w:rsidR="00057C69">
        <w:rPr>
          <w:rFonts w:eastAsiaTheme="minorEastAsia"/>
        </w:rPr>
        <w:t xml:space="preserve">. Both </w:t>
      </w:r>
      <w:r w:rsidR="00FB370D">
        <w:rPr>
          <w:rFonts w:eastAsiaTheme="minorEastAsia"/>
        </w:rPr>
        <w:t>rules</w:t>
      </w:r>
      <w:r>
        <w:rPr>
          <w:rFonts w:eastAsiaTheme="minorEastAsia"/>
        </w:rPr>
        <w:t xml:space="preserve"> take int</w:t>
      </w:r>
      <w:r w:rsidR="00057C69">
        <w:rPr>
          <w:rFonts w:eastAsiaTheme="minorEastAsia"/>
        </w:rPr>
        <w:t xml:space="preserve">o account sampling uncertainty. </w:t>
      </w:r>
    </w:p>
    <w:p w:rsidR="005F5026" w:rsidRPr="007033ED" w:rsidRDefault="007033ED" w:rsidP="007033ED">
      <w:pPr>
        <w:pStyle w:val="Listenabsatz"/>
        <w:widowControl w:val="0"/>
        <w:numPr>
          <w:ilvl w:val="0"/>
          <w:numId w:val="8"/>
        </w:numPr>
        <w:autoSpaceDE w:val="0"/>
        <w:autoSpaceDN w:val="0"/>
        <w:adjustRightInd w:val="0"/>
        <w:spacing w:after="240" w:line="240" w:lineRule="auto"/>
        <w:rPr>
          <w:rFonts w:eastAsiaTheme="minorEastAsia"/>
        </w:rPr>
      </w:pPr>
      <w:r>
        <w:t xml:space="preserve">Sampling uncertainty for the process mean µ according ISO 3951-1 is </w:t>
      </w:r>
      <w:proofErr w:type="gramStart"/>
      <w:r>
        <w:t xml:space="preserve">computed </w:t>
      </w:r>
      <m:oMath>
        <m:r>
          <w:rPr>
            <w:rFonts w:ascii="Cambria Math" w:hAnsi="Cambria Math"/>
          </w:rPr>
          <m:t/>
        </m:r>
        <w:proofErr w:type="gramEnd"/>
        <m: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hAnsi="Cambria Math"/>
          </w:rPr>
          <m:t>)=σ/</m:t>
        </m:r>
        <m:rad>
          <m:radPr>
            <m:degHide m:val="1"/>
            <m:ctrlPr>
              <w:rPr>
                <w:rFonts w:ascii="Cambria Math" w:hAnsi="Cambria Math"/>
                <w:i/>
              </w:rPr>
            </m:ctrlPr>
          </m:radPr>
          <m:deg/>
          <m:e>
            <m:r>
              <w:rPr>
                <w:rFonts w:ascii="Cambria Math" w:hAnsi="Cambria Math"/>
              </w:rPr>
              <m:t>n</m:t>
            </m:r>
          </m:e>
        </m:rad>
      </m:oMath>
      <w:r>
        <w:rPr>
          <w:rFonts w:eastAsiaTheme="minorEastAsia"/>
        </w:rPr>
        <w:t xml:space="preserve"> , where </w:t>
      </w:r>
      <m:oMath>
        <m:r>
          <w:rPr>
            <w:rFonts w:ascii="Cambria Math" w:hAnsi="Cambria Math"/>
          </w:rPr>
          <m:t>σ</m:t>
        </m:r>
      </m:oMath>
      <w:r>
        <w:rPr>
          <w:rFonts w:eastAsiaTheme="minorEastAsia"/>
        </w:rPr>
        <w:t xml:space="preserve"> denotes the true standard deviation of the variability between items.</w:t>
      </w:r>
    </w:p>
    <w:p w:rsidR="00844A35" w:rsidRDefault="00853A45" w:rsidP="00E649BA">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Also t</w:t>
      </w:r>
      <w:r w:rsidR="00844A35">
        <w:rPr>
          <w:rFonts w:eastAsiaTheme="minorEastAsia"/>
        </w:rPr>
        <w:t xml:space="preserve">he ISO approach </w:t>
      </w:r>
      <w:r>
        <w:rPr>
          <w:rFonts w:eastAsiaTheme="minorEastAsia"/>
        </w:rPr>
        <w:t xml:space="preserve">for the </w:t>
      </w:r>
      <m:oMath>
        <m:r>
          <w:rPr>
            <w:rFonts w:ascii="Cambria Math" w:eastAsiaTheme="minorEastAsia" w:hAnsi="Cambria Math"/>
          </w:rPr>
          <m:t>"</m:t>
        </m:r>
        <m:r>
          <w:rPr>
            <w:rFonts w:ascii="Cambria Math" w:hAnsi="Cambria Math"/>
          </w:rPr>
          <m:t>s</m:t>
        </m:r>
      </m:oMath>
      <w:r>
        <w:rPr>
          <w:rFonts w:eastAsiaTheme="minorEastAsia"/>
        </w:rPr>
        <w:t xml:space="preserve">” method </w:t>
      </w:r>
      <w:r w:rsidR="00844A35">
        <w:rPr>
          <w:rFonts w:eastAsiaTheme="minorEastAsia"/>
        </w:rPr>
        <w:t>takes into</w:t>
      </w:r>
      <w:r>
        <w:rPr>
          <w:rFonts w:eastAsiaTheme="minorEastAsia"/>
        </w:rPr>
        <w:t xml:space="preserve"> account</w:t>
      </w:r>
      <w:r w:rsidR="002233A2">
        <w:rPr>
          <w:rFonts w:eastAsiaTheme="minorEastAsia"/>
        </w:rPr>
        <w:t xml:space="preserve"> sampl</w:t>
      </w:r>
      <w:r w:rsidR="00952865">
        <w:rPr>
          <w:rFonts w:eastAsiaTheme="minorEastAsia"/>
        </w:rPr>
        <w:t>ing</w:t>
      </w:r>
      <w:r w:rsidR="002233A2">
        <w:rPr>
          <w:rFonts w:eastAsiaTheme="minorEastAsia"/>
        </w:rPr>
        <w:t xml:space="preserve"> uncertainty. Coverage is derived from both producer’s and consumer’s risk.</w:t>
      </w:r>
      <w:r w:rsidR="00F67708">
        <w:rPr>
          <w:rFonts w:eastAsiaTheme="minorEastAsia"/>
        </w:rPr>
        <w:t xml:space="preserve"> </w:t>
      </w:r>
    </w:p>
    <w:p w:rsidR="00FB370D" w:rsidRDefault="00FB370D" w:rsidP="00E649BA">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The toolbox provided by ISO 3951 is very powerful and applicable for many different situations</w:t>
      </w:r>
      <w:r w:rsidR="00F67708">
        <w:rPr>
          <w:rFonts w:eastAsiaTheme="minorEastAsia"/>
        </w:rPr>
        <w:t>.</w:t>
      </w:r>
      <w:r w:rsidR="00853A45">
        <w:rPr>
          <w:rFonts w:eastAsiaTheme="minorEastAsia"/>
        </w:rPr>
        <w:t xml:space="preserve"> It is statistically valid and can be applied also in situations </w:t>
      </w:r>
    </w:p>
    <w:p w:rsidR="00FB370D" w:rsidRDefault="00853A45" w:rsidP="00FB370D">
      <w:pPr>
        <w:pStyle w:val="Listenabsatz"/>
        <w:widowControl w:val="0"/>
        <w:numPr>
          <w:ilvl w:val="1"/>
          <w:numId w:val="8"/>
        </w:numPr>
        <w:autoSpaceDE w:val="0"/>
        <w:autoSpaceDN w:val="0"/>
        <w:adjustRightInd w:val="0"/>
        <w:spacing w:after="240" w:line="240" w:lineRule="auto"/>
        <w:rPr>
          <w:rFonts w:eastAsiaTheme="minorEastAsia"/>
        </w:rPr>
      </w:pPr>
      <w:r>
        <w:rPr>
          <w:rFonts w:eastAsiaTheme="minorEastAsia"/>
        </w:rPr>
        <w:t>whe</w:t>
      </w:r>
      <w:r w:rsidR="00FB370D">
        <w:rPr>
          <w:rFonts w:eastAsiaTheme="minorEastAsia"/>
        </w:rPr>
        <w:t>n</w:t>
      </w:r>
      <w:r>
        <w:rPr>
          <w:rFonts w:eastAsiaTheme="minorEastAsia"/>
        </w:rPr>
        <w:t xml:space="preserve"> the uncertainty is </w:t>
      </w:r>
      <w:r w:rsidR="008941AC">
        <w:rPr>
          <w:rFonts w:eastAsiaTheme="minorEastAsia"/>
        </w:rPr>
        <w:t>ver</w:t>
      </w:r>
      <w:r>
        <w:rPr>
          <w:rFonts w:eastAsiaTheme="minorEastAsia"/>
        </w:rPr>
        <w:t>y large</w:t>
      </w:r>
      <w:r w:rsidR="008941AC">
        <w:rPr>
          <w:rFonts w:eastAsiaTheme="minorEastAsia"/>
        </w:rPr>
        <w:t xml:space="preserve"> (a situation which is critical for the </w:t>
      </w:r>
      <w:proofErr w:type="spellStart"/>
      <w:r w:rsidR="008941AC">
        <w:rPr>
          <w:rFonts w:eastAsiaTheme="minorEastAsia"/>
        </w:rPr>
        <w:t>UfS</w:t>
      </w:r>
      <w:proofErr w:type="spellEnd"/>
      <w:r w:rsidR="008941AC">
        <w:rPr>
          <w:rFonts w:eastAsiaTheme="minorEastAsia"/>
        </w:rPr>
        <w:t xml:space="preserve"> approach)</w:t>
      </w:r>
    </w:p>
    <w:p w:rsidR="00FB370D" w:rsidRPr="00FB370D" w:rsidRDefault="00FB370D" w:rsidP="00FB370D">
      <w:pPr>
        <w:pStyle w:val="Listenabsatz"/>
        <w:widowControl w:val="0"/>
        <w:numPr>
          <w:ilvl w:val="1"/>
          <w:numId w:val="8"/>
        </w:numPr>
        <w:autoSpaceDE w:val="0"/>
        <w:autoSpaceDN w:val="0"/>
        <w:adjustRightInd w:val="0"/>
        <w:spacing w:after="240" w:line="240" w:lineRule="auto"/>
        <w:rPr>
          <w:rFonts w:eastAsiaTheme="minorEastAsia"/>
        </w:rPr>
      </w:pPr>
      <w:proofErr w:type="gramStart"/>
      <w:r>
        <w:rPr>
          <w:rFonts w:eastAsiaTheme="minorEastAsia"/>
        </w:rPr>
        <w:t>when</w:t>
      </w:r>
      <w:proofErr w:type="gramEnd"/>
      <w:r>
        <w:rPr>
          <w:rFonts w:eastAsiaTheme="minorEastAsia"/>
        </w:rPr>
        <w:t xml:space="preserve"> </w:t>
      </w:r>
      <w:r w:rsidR="00F67708">
        <w:rPr>
          <w:rFonts w:eastAsiaTheme="minorEastAsia"/>
        </w:rPr>
        <w:t>the analytical uncertainty is not negligible</w:t>
      </w:r>
      <w:r>
        <w:rPr>
          <w:rFonts w:eastAsiaTheme="minorEastAsia"/>
        </w:rPr>
        <w:t xml:space="preserve"> (since the last revision of the standard).</w:t>
      </w:r>
    </w:p>
    <w:p w:rsidR="00627D44" w:rsidRDefault="00853A45" w:rsidP="00FB370D">
      <w:pPr>
        <w:pStyle w:val="Listenabsatz"/>
        <w:widowControl w:val="0"/>
        <w:numPr>
          <w:ilvl w:val="0"/>
          <w:numId w:val="8"/>
        </w:numPr>
        <w:autoSpaceDE w:val="0"/>
        <w:autoSpaceDN w:val="0"/>
        <w:adjustRightInd w:val="0"/>
        <w:spacing w:after="240" w:line="240" w:lineRule="auto"/>
        <w:rPr>
          <w:rFonts w:eastAsiaTheme="minorEastAsia"/>
        </w:rPr>
      </w:pPr>
      <w:r>
        <w:rPr>
          <w:rFonts w:eastAsiaTheme="minorEastAsia"/>
        </w:rPr>
        <w:t>On the other hand, the ISO approach us</w:t>
      </w:r>
      <w:r w:rsidR="00F67708">
        <w:rPr>
          <w:rFonts w:eastAsiaTheme="minorEastAsia"/>
        </w:rPr>
        <w:t xml:space="preserve">es complicated terminology, </w:t>
      </w:r>
      <w:r>
        <w:rPr>
          <w:rFonts w:eastAsiaTheme="minorEastAsia"/>
        </w:rPr>
        <w:t>fails to provide proper explanation of statistical procedures</w:t>
      </w:r>
      <w:r w:rsidR="00AF2739">
        <w:rPr>
          <w:rFonts w:eastAsiaTheme="minorEastAsia"/>
        </w:rPr>
        <w:t xml:space="preserve"> and uses complicated tables and charts for decision-making</w:t>
      </w:r>
      <w:r>
        <w:rPr>
          <w:rFonts w:eastAsiaTheme="minorEastAsia"/>
        </w:rPr>
        <w:t>. It is</w:t>
      </w:r>
      <w:r w:rsidR="00627D44">
        <w:rPr>
          <w:rFonts w:eastAsiaTheme="minorEastAsia"/>
        </w:rPr>
        <w:t xml:space="preserve"> therefore suggested to </w:t>
      </w:r>
    </w:p>
    <w:p w:rsidR="00AF22B7" w:rsidRDefault="00AF22B7" w:rsidP="00627D44">
      <w:pPr>
        <w:pStyle w:val="Listenabsatz"/>
        <w:widowControl w:val="0"/>
        <w:numPr>
          <w:ilvl w:val="1"/>
          <w:numId w:val="8"/>
        </w:numPr>
        <w:autoSpaceDE w:val="0"/>
        <w:autoSpaceDN w:val="0"/>
        <w:adjustRightInd w:val="0"/>
        <w:spacing w:after="240" w:line="240" w:lineRule="auto"/>
        <w:rPr>
          <w:rFonts w:eastAsiaTheme="minorEastAsia"/>
        </w:rPr>
      </w:pPr>
      <w:r>
        <w:rPr>
          <w:rFonts w:eastAsiaTheme="minorEastAsia"/>
        </w:rPr>
        <w:t>develop more appropriate terminology</w:t>
      </w:r>
    </w:p>
    <w:p w:rsidR="00627D44" w:rsidRPr="00AF22B7" w:rsidRDefault="00627D44" w:rsidP="00AF22B7">
      <w:pPr>
        <w:pStyle w:val="Listenabsatz"/>
        <w:widowControl w:val="0"/>
        <w:numPr>
          <w:ilvl w:val="1"/>
          <w:numId w:val="8"/>
        </w:numPr>
        <w:autoSpaceDE w:val="0"/>
        <w:autoSpaceDN w:val="0"/>
        <w:adjustRightInd w:val="0"/>
        <w:spacing w:after="240" w:line="240" w:lineRule="auto"/>
        <w:rPr>
          <w:rFonts w:eastAsiaTheme="minorEastAsia"/>
        </w:rPr>
      </w:pPr>
      <w:r>
        <w:rPr>
          <w:rFonts w:eastAsiaTheme="minorEastAsia"/>
        </w:rPr>
        <w:t>produce explanations for statistical concepts</w:t>
      </w:r>
    </w:p>
    <w:p w:rsidR="00853A45" w:rsidRPr="008941AC" w:rsidRDefault="00AF22B7" w:rsidP="008941AC">
      <w:pPr>
        <w:pStyle w:val="Listenabsatz"/>
        <w:widowControl w:val="0"/>
        <w:numPr>
          <w:ilvl w:val="1"/>
          <w:numId w:val="8"/>
        </w:numPr>
        <w:autoSpaceDE w:val="0"/>
        <w:autoSpaceDN w:val="0"/>
        <w:adjustRightInd w:val="0"/>
        <w:spacing w:after="240" w:line="240" w:lineRule="auto"/>
        <w:rPr>
          <w:rFonts w:eastAsiaTheme="minorEastAsia"/>
        </w:rPr>
      </w:pPr>
      <w:proofErr w:type="gramStart"/>
      <w:r>
        <w:rPr>
          <w:rFonts w:eastAsiaTheme="minorEastAsia"/>
        </w:rPr>
        <w:t>simplify</w:t>
      </w:r>
      <w:proofErr w:type="gramEnd"/>
      <w:r>
        <w:rPr>
          <w:rFonts w:eastAsiaTheme="minorEastAsia"/>
        </w:rPr>
        <w:t xml:space="preserve"> outdated </w:t>
      </w:r>
      <w:r w:rsidR="00FB370D">
        <w:rPr>
          <w:rFonts w:eastAsiaTheme="minorEastAsia"/>
        </w:rPr>
        <w:t>procedures</w:t>
      </w:r>
      <w:r>
        <w:rPr>
          <w:rFonts w:eastAsiaTheme="minorEastAsia"/>
        </w:rPr>
        <w:t xml:space="preserve"> of </w:t>
      </w:r>
      <w:r w:rsidR="00F67708">
        <w:rPr>
          <w:rFonts w:eastAsiaTheme="minorEastAsia"/>
        </w:rPr>
        <w:t>decision-making</w:t>
      </w:r>
      <w:r w:rsidR="00AF2739" w:rsidRPr="008941AC">
        <w:rPr>
          <w:rFonts w:eastAsiaTheme="minorEastAsia"/>
        </w:rPr>
        <w:t>.</w:t>
      </w:r>
    </w:p>
    <w:p w:rsidR="00E649BA" w:rsidRPr="00E649BA" w:rsidRDefault="00E649BA" w:rsidP="00E649BA">
      <w:pPr>
        <w:widowControl w:val="0"/>
        <w:autoSpaceDE w:val="0"/>
        <w:autoSpaceDN w:val="0"/>
        <w:adjustRightInd w:val="0"/>
        <w:spacing w:after="240" w:line="240" w:lineRule="auto"/>
        <w:ind w:left="360"/>
        <w:rPr>
          <w:rFonts w:eastAsiaTheme="minorEastAsia"/>
        </w:rPr>
      </w:pPr>
    </w:p>
    <w:p w:rsidR="004722FD" w:rsidRPr="004722FD" w:rsidRDefault="004722FD" w:rsidP="004722FD">
      <w:pPr>
        <w:widowControl w:val="0"/>
        <w:autoSpaceDE w:val="0"/>
        <w:autoSpaceDN w:val="0"/>
        <w:adjustRightInd w:val="0"/>
        <w:spacing w:after="240" w:line="240" w:lineRule="auto"/>
        <w:rPr>
          <w:rFonts w:eastAsiaTheme="minorEastAsia"/>
        </w:rPr>
      </w:pPr>
    </w:p>
    <w:sectPr w:rsidR="004722FD" w:rsidRPr="004722F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8F4"/>
    <w:multiLevelType w:val="hybridMultilevel"/>
    <w:tmpl w:val="2FB2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D1A0A"/>
    <w:multiLevelType w:val="hybridMultilevel"/>
    <w:tmpl w:val="410C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E28A4"/>
    <w:multiLevelType w:val="hybridMultilevel"/>
    <w:tmpl w:val="9B989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C4033ED"/>
    <w:multiLevelType w:val="hybridMultilevel"/>
    <w:tmpl w:val="7752F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9B0E11"/>
    <w:multiLevelType w:val="hybridMultilevel"/>
    <w:tmpl w:val="5A5AB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E53039"/>
    <w:multiLevelType w:val="hybridMultilevel"/>
    <w:tmpl w:val="8E0014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D7DFB"/>
    <w:multiLevelType w:val="hybridMultilevel"/>
    <w:tmpl w:val="D534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22833"/>
    <w:multiLevelType w:val="hybridMultilevel"/>
    <w:tmpl w:val="ECF27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4E5BC3"/>
    <w:multiLevelType w:val="hybridMultilevel"/>
    <w:tmpl w:val="9B989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6D56467"/>
    <w:multiLevelType w:val="hybridMultilevel"/>
    <w:tmpl w:val="277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1"/>
  </w:num>
  <w:num w:numId="6">
    <w:abstractNumId w:val="4"/>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AF"/>
    <w:rsid w:val="00021560"/>
    <w:rsid w:val="00021B43"/>
    <w:rsid w:val="0002446F"/>
    <w:rsid w:val="00057C69"/>
    <w:rsid w:val="00066B73"/>
    <w:rsid w:val="0008322A"/>
    <w:rsid w:val="000D3E8E"/>
    <w:rsid w:val="001702E9"/>
    <w:rsid w:val="001B48DB"/>
    <w:rsid w:val="001C2CE5"/>
    <w:rsid w:val="001D47E1"/>
    <w:rsid w:val="001E39A7"/>
    <w:rsid w:val="001F2E6A"/>
    <w:rsid w:val="00203946"/>
    <w:rsid w:val="002233A2"/>
    <w:rsid w:val="0025463E"/>
    <w:rsid w:val="002736D7"/>
    <w:rsid w:val="002D7C95"/>
    <w:rsid w:val="002E1A25"/>
    <w:rsid w:val="002E4A8A"/>
    <w:rsid w:val="002F49E0"/>
    <w:rsid w:val="00307F10"/>
    <w:rsid w:val="00387680"/>
    <w:rsid w:val="003B5FD7"/>
    <w:rsid w:val="003E7815"/>
    <w:rsid w:val="00405543"/>
    <w:rsid w:val="004076A5"/>
    <w:rsid w:val="00423FB3"/>
    <w:rsid w:val="00436FE6"/>
    <w:rsid w:val="00437FA7"/>
    <w:rsid w:val="00442BDF"/>
    <w:rsid w:val="00444F62"/>
    <w:rsid w:val="00446B93"/>
    <w:rsid w:val="00450BCE"/>
    <w:rsid w:val="004722FD"/>
    <w:rsid w:val="004F0F0C"/>
    <w:rsid w:val="005146EE"/>
    <w:rsid w:val="00567298"/>
    <w:rsid w:val="00571B43"/>
    <w:rsid w:val="00595335"/>
    <w:rsid w:val="005A2AB0"/>
    <w:rsid w:val="005E1D0F"/>
    <w:rsid w:val="005E2544"/>
    <w:rsid w:val="005F5026"/>
    <w:rsid w:val="0061738F"/>
    <w:rsid w:val="00627D44"/>
    <w:rsid w:val="006309BA"/>
    <w:rsid w:val="0064096B"/>
    <w:rsid w:val="006547B1"/>
    <w:rsid w:val="00661A76"/>
    <w:rsid w:val="0067488D"/>
    <w:rsid w:val="0068484F"/>
    <w:rsid w:val="00692232"/>
    <w:rsid w:val="006B212E"/>
    <w:rsid w:val="006D27AF"/>
    <w:rsid w:val="007033ED"/>
    <w:rsid w:val="0072466D"/>
    <w:rsid w:val="007864E2"/>
    <w:rsid w:val="0079660B"/>
    <w:rsid w:val="007B0B4A"/>
    <w:rsid w:val="007B7CB7"/>
    <w:rsid w:val="007C35D2"/>
    <w:rsid w:val="007E7BE3"/>
    <w:rsid w:val="00815AD1"/>
    <w:rsid w:val="0082062A"/>
    <w:rsid w:val="00844A35"/>
    <w:rsid w:val="00853A45"/>
    <w:rsid w:val="00871E1B"/>
    <w:rsid w:val="0088441A"/>
    <w:rsid w:val="008941AC"/>
    <w:rsid w:val="008A6714"/>
    <w:rsid w:val="008A71D6"/>
    <w:rsid w:val="008B1A9D"/>
    <w:rsid w:val="008C0F48"/>
    <w:rsid w:val="008D5E48"/>
    <w:rsid w:val="008D68D3"/>
    <w:rsid w:val="00930E3A"/>
    <w:rsid w:val="00931E16"/>
    <w:rsid w:val="009321FB"/>
    <w:rsid w:val="00952865"/>
    <w:rsid w:val="00990D86"/>
    <w:rsid w:val="009A63B1"/>
    <w:rsid w:val="009B2AF7"/>
    <w:rsid w:val="009C52B2"/>
    <w:rsid w:val="009F238C"/>
    <w:rsid w:val="009F3CAE"/>
    <w:rsid w:val="00A22257"/>
    <w:rsid w:val="00A52237"/>
    <w:rsid w:val="00A8559C"/>
    <w:rsid w:val="00AA7AB6"/>
    <w:rsid w:val="00AB7837"/>
    <w:rsid w:val="00AF22B7"/>
    <w:rsid w:val="00AF2739"/>
    <w:rsid w:val="00B34F1D"/>
    <w:rsid w:val="00B47C85"/>
    <w:rsid w:val="00B765F6"/>
    <w:rsid w:val="00B87B74"/>
    <w:rsid w:val="00BB4F89"/>
    <w:rsid w:val="00BC116A"/>
    <w:rsid w:val="00BC3159"/>
    <w:rsid w:val="00C07FEC"/>
    <w:rsid w:val="00C84433"/>
    <w:rsid w:val="00CB587D"/>
    <w:rsid w:val="00CD26EC"/>
    <w:rsid w:val="00CE4A19"/>
    <w:rsid w:val="00CF5F20"/>
    <w:rsid w:val="00D075BE"/>
    <w:rsid w:val="00D46932"/>
    <w:rsid w:val="00D621D5"/>
    <w:rsid w:val="00DA7B76"/>
    <w:rsid w:val="00DB7A9E"/>
    <w:rsid w:val="00DD640C"/>
    <w:rsid w:val="00DD70DD"/>
    <w:rsid w:val="00DF35F9"/>
    <w:rsid w:val="00E07F1B"/>
    <w:rsid w:val="00E2480C"/>
    <w:rsid w:val="00E649BA"/>
    <w:rsid w:val="00E71A26"/>
    <w:rsid w:val="00EA363D"/>
    <w:rsid w:val="00EA5991"/>
    <w:rsid w:val="00EB037C"/>
    <w:rsid w:val="00ED0003"/>
    <w:rsid w:val="00ED6D0D"/>
    <w:rsid w:val="00EF1D98"/>
    <w:rsid w:val="00EF3A42"/>
    <w:rsid w:val="00EF5980"/>
    <w:rsid w:val="00F0205F"/>
    <w:rsid w:val="00F3481E"/>
    <w:rsid w:val="00F41B20"/>
    <w:rsid w:val="00F44D76"/>
    <w:rsid w:val="00F67708"/>
    <w:rsid w:val="00F71CE8"/>
    <w:rsid w:val="00FB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3D1B85C-E815-40CB-B543-171352F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50BC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273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C8443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37F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27AF"/>
    <w:rPr>
      <w:color w:val="808080"/>
    </w:rPr>
  </w:style>
  <w:style w:type="paragraph" w:styleId="Sprechblasentext">
    <w:name w:val="Balloon Text"/>
    <w:basedOn w:val="Standard"/>
    <w:link w:val="SprechblasentextZchn"/>
    <w:uiPriority w:val="99"/>
    <w:semiHidden/>
    <w:unhideWhenUsed/>
    <w:rsid w:val="006D27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27AF"/>
    <w:rPr>
      <w:rFonts w:ascii="Tahoma" w:hAnsi="Tahoma" w:cs="Tahoma"/>
      <w:sz w:val="16"/>
      <w:szCs w:val="16"/>
    </w:rPr>
  </w:style>
  <w:style w:type="paragraph" w:styleId="Listenabsatz">
    <w:name w:val="List Paragraph"/>
    <w:basedOn w:val="Standard"/>
    <w:uiPriority w:val="34"/>
    <w:qFormat/>
    <w:rsid w:val="006D27AF"/>
    <w:pPr>
      <w:ind w:left="720"/>
      <w:contextualSpacing/>
    </w:pPr>
  </w:style>
  <w:style w:type="character" w:customStyle="1" w:styleId="berschrift1Zchn">
    <w:name w:val="Überschrift 1 Zchn"/>
    <w:basedOn w:val="Absatz-Standardschriftart"/>
    <w:link w:val="berschrift1"/>
    <w:uiPriority w:val="9"/>
    <w:rsid w:val="00450BCE"/>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2736D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8443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437FA7"/>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1B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10826</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Colson</dc:creator>
  <cp:lastModifiedBy>Gowik, Dr. Petra</cp:lastModifiedBy>
  <cp:revision>2</cp:revision>
  <dcterms:created xsi:type="dcterms:W3CDTF">2015-09-16T09:59:00Z</dcterms:created>
  <dcterms:modified xsi:type="dcterms:W3CDTF">2015-09-16T09:59:00Z</dcterms:modified>
</cp:coreProperties>
</file>